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21A00" w14:textId="7412DF35" w:rsidR="0006494B" w:rsidRDefault="005A1652" w:rsidP="004C400D">
      <w:pPr>
        <w:jc w:val="center"/>
        <w:rPr>
          <w:b/>
        </w:rPr>
      </w:pPr>
      <w:r>
        <w:rPr>
          <w:b/>
        </w:rPr>
        <w:t xml:space="preserve"> </w:t>
      </w:r>
      <w:r w:rsidR="00A07F5C">
        <w:rPr>
          <w:b/>
        </w:rPr>
        <w:t>London Borough of Waltham Forest (</w:t>
      </w:r>
      <w:r w:rsidR="0006494B">
        <w:rPr>
          <w:b/>
        </w:rPr>
        <w:t>LBWF</w:t>
      </w:r>
      <w:r w:rsidR="00A07F5C">
        <w:rPr>
          <w:b/>
        </w:rPr>
        <w:t>)</w:t>
      </w:r>
      <w:r w:rsidR="0006494B">
        <w:rPr>
          <w:b/>
        </w:rPr>
        <w:t xml:space="preserve"> and Worknet</w:t>
      </w:r>
      <w:r w:rsidR="00E740D3">
        <w:rPr>
          <w:b/>
        </w:rPr>
        <w:t xml:space="preserve"> - a tale </w:t>
      </w:r>
      <w:r w:rsidR="00BA26DB">
        <w:rPr>
          <w:b/>
        </w:rPr>
        <w:t>un</w:t>
      </w:r>
      <w:r w:rsidR="005A5AEE">
        <w:rPr>
          <w:b/>
        </w:rPr>
        <w:t>de</w:t>
      </w:r>
      <w:r w:rsidR="0067205A">
        <w:rPr>
          <w:b/>
        </w:rPr>
        <w:t>rperformance, failure, and the betrayal of local people</w:t>
      </w:r>
      <w:bookmarkStart w:id="0" w:name="_GoBack"/>
      <w:bookmarkEnd w:id="0"/>
    </w:p>
    <w:p w14:paraId="7A7ABE60" w14:textId="77777777" w:rsidR="00E57E64" w:rsidRDefault="00E57E64" w:rsidP="004C400D">
      <w:pPr>
        <w:ind w:left="360"/>
        <w:jc w:val="center"/>
        <w:rPr>
          <w:b/>
        </w:rPr>
      </w:pPr>
    </w:p>
    <w:p w14:paraId="3554D539" w14:textId="77777777" w:rsidR="004C400D" w:rsidRDefault="00E57E64" w:rsidP="004C400D">
      <w:pPr>
        <w:ind w:left="360"/>
        <w:jc w:val="center"/>
        <w:rPr>
          <w:b/>
        </w:rPr>
      </w:pPr>
      <w:r>
        <w:rPr>
          <w:b/>
        </w:rPr>
        <w:t>Nick Tiratsoo</w:t>
      </w:r>
    </w:p>
    <w:p w14:paraId="7B803827" w14:textId="77777777" w:rsidR="004C400D" w:rsidRDefault="004C400D" w:rsidP="004C400D">
      <w:pPr>
        <w:ind w:left="360"/>
        <w:rPr>
          <w:b/>
        </w:rPr>
      </w:pPr>
    </w:p>
    <w:p w14:paraId="72A4629F" w14:textId="1284C6AC" w:rsidR="00083DC7" w:rsidRDefault="00083DC7" w:rsidP="004C400D">
      <w:pPr>
        <w:ind w:left="360"/>
        <w:rPr>
          <w:b/>
        </w:rPr>
      </w:pPr>
      <w:r w:rsidRPr="00083DC7">
        <w:rPr>
          <w:b/>
        </w:rPr>
        <w:t>Summary</w:t>
      </w:r>
    </w:p>
    <w:p w14:paraId="0CFFDF97" w14:textId="77777777" w:rsidR="00083DC7" w:rsidRDefault="00083DC7" w:rsidP="00083DC7">
      <w:pPr>
        <w:rPr>
          <w:b/>
        </w:rPr>
      </w:pPr>
    </w:p>
    <w:p w14:paraId="65544A6A" w14:textId="263591EB" w:rsidR="00083DC7" w:rsidRDefault="00083DC7" w:rsidP="004C400D">
      <w:pPr>
        <w:pStyle w:val="ListParagraph"/>
        <w:numPr>
          <w:ilvl w:val="0"/>
          <w:numId w:val="7"/>
        </w:numPr>
        <w:ind w:hanging="578"/>
        <w:jc w:val="both"/>
      </w:pPr>
      <w:r w:rsidRPr="00083DC7">
        <w:t>From 2008 onwards</w:t>
      </w:r>
      <w:r>
        <w:t>, LBWF has run a Worknet programme, aimed at addressing joblessness.</w:t>
      </w:r>
    </w:p>
    <w:p w14:paraId="65B5CE88" w14:textId="77777777" w:rsidR="00083DC7" w:rsidRDefault="00083DC7" w:rsidP="004C400D">
      <w:pPr>
        <w:pStyle w:val="ListParagraph"/>
        <w:ind w:hanging="578"/>
        <w:jc w:val="both"/>
      </w:pPr>
    </w:p>
    <w:p w14:paraId="0C213456" w14:textId="7D4F335E" w:rsidR="00083DC7" w:rsidRDefault="00083DC7" w:rsidP="004C400D">
      <w:pPr>
        <w:pStyle w:val="ListParagraph"/>
        <w:numPr>
          <w:ilvl w:val="0"/>
          <w:numId w:val="7"/>
        </w:numPr>
        <w:ind w:hanging="578"/>
        <w:jc w:val="both"/>
      </w:pPr>
      <w:r>
        <w:t>The total value of the programme to date is c. £</w:t>
      </w:r>
      <w:r w:rsidR="00A839FC">
        <w:t>8-</w:t>
      </w:r>
      <w:r>
        <w:t xml:space="preserve">9m., </w:t>
      </w:r>
      <w:r w:rsidR="00AA6F4E">
        <w:t>with funding coming from a number of London and central government sources.</w:t>
      </w:r>
    </w:p>
    <w:p w14:paraId="63FD0900" w14:textId="77777777" w:rsidR="00AA6F4E" w:rsidRDefault="00AA6F4E" w:rsidP="00AA6F4E">
      <w:pPr>
        <w:jc w:val="both"/>
      </w:pPr>
    </w:p>
    <w:p w14:paraId="157A33C8" w14:textId="32980D54" w:rsidR="00083DC7" w:rsidRDefault="00083DC7" w:rsidP="00846123">
      <w:pPr>
        <w:pStyle w:val="ListParagraph"/>
        <w:numPr>
          <w:ilvl w:val="0"/>
          <w:numId w:val="7"/>
        </w:numPr>
        <w:ind w:hanging="578"/>
        <w:jc w:val="both"/>
      </w:pPr>
      <w:r>
        <w:t xml:space="preserve">LBWB’s main contractors </w:t>
      </w:r>
      <w:r w:rsidR="0065729E">
        <w:t xml:space="preserve">in delivering Worknet </w:t>
      </w:r>
      <w:r w:rsidR="00200FDE">
        <w:t xml:space="preserve">have been first </w:t>
      </w:r>
      <w:r w:rsidR="00BF0E42">
        <w:t xml:space="preserve">O-Regen, </w:t>
      </w:r>
      <w:r w:rsidR="00200FDE">
        <w:t xml:space="preserve">and then </w:t>
      </w:r>
      <w:r w:rsidR="00BF0E42">
        <w:t>Kennedy Scott, Widows and Orphans Internationa</w:t>
      </w:r>
      <w:r w:rsidR="00846123">
        <w:t>l, and Reed in Partnership,</w:t>
      </w:r>
      <w:r w:rsidR="00685E30">
        <w:t xml:space="preserve"> </w:t>
      </w:r>
      <w:r w:rsidR="00200FDE">
        <w:t xml:space="preserve">with only the latter now </w:t>
      </w:r>
      <w:r>
        <w:t>left</w:t>
      </w:r>
      <w:r w:rsidR="00BF0E42">
        <w:t xml:space="preserve"> in the scheme</w:t>
      </w:r>
      <w:r>
        <w:t>.</w:t>
      </w:r>
    </w:p>
    <w:p w14:paraId="720328D8" w14:textId="77777777" w:rsidR="00083DC7" w:rsidRDefault="00083DC7" w:rsidP="004C400D">
      <w:pPr>
        <w:ind w:hanging="578"/>
        <w:jc w:val="both"/>
      </w:pPr>
    </w:p>
    <w:p w14:paraId="392E3583" w14:textId="54904930" w:rsidR="00200FDE" w:rsidRDefault="00200FDE" w:rsidP="00685E30">
      <w:pPr>
        <w:pStyle w:val="ListParagraph"/>
        <w:numPr>
          <w:ilvl w:val="0"/>
          <w:numId w:val="7"/>
        </w:numPr>
        <w:ind w:hanging="578"/>
        <w:jc w:val="both"/>
      </w:pPr>
      <w:r>
        <w:t xml:space="preserve">LBWF </w:t>
      </w:r>
      <w:r w:rsidR="00685E30">
        <w:t>specified output</w:t>
      </w:r>
      <w:r w:rsidR="00083DC7">
        <w:t xml:space="preserve"> </w:t>
      </w:r>
      <w:r w:rsidR="00685E30">
        <w:t xml:space="preserve">targets </w:t>
      </w:r>
      <w:r>
        <w:t xml:space="preserve">for </w:t>
      </w:r>
      <w:r w:rsidR="00685E30">
        <w:t xml:space="preserve">all </w:t>
      </w:r>
      <w:r w:rsidR="00083DC7">
        <w:t>contracts</w:t>
      </w:r>
      <w:r w:rsidR="00685E30">
        <w:t>, but its monitoring</w:t>
      </w:r>
      <w:r>
        <w:t xml:space="preserve"> </w:t>
      </w:r>
      <w:r w:rsidR="00685E30">
        <w:t>of what was actually achieved has been at best uneven, on occasion wholly absent.</w:t>
      </w:r>
    </w:p>
    <w:p w14:paraId="54E54185" w14:textId="77777777" w:rsidR="00200FDE" w:rsidRDefault="00200FDE" w:rsidP="00200FDE">
      <w:pPr>
        <w:jc w:val="both"/>
      </w:pPr>
    </w:p>
    <w:p w14:paraId="6F08B052" w14:textId="3A05762A" w:rsidR="00200FDE" w:rsidRDefault="00200FDE" w:rsidP="004C400D">
      <w:pPr>
        <w:pStyle w:val="ListParagraph"/>
        <w:numPr>
          <w:ilvl w:val="0"/>
          <w:numId w:val="7"/>
        </w:numPr>
        <w:ind w:hanging="578"/>
        <w:jc w:val="both"/>
      </w:pPr>
      <w:r>
        <w:t>However, it is clear that all of the providers –</w:t>
      </w:r>
      <w:r w:rsidR="009F5224">
        <w:t xml:space="preserve"> bar Ree</w:t>
      </w:r>
      <w:r w:rsidR="00685E30">
        <w:t>d in 2012-13</w:t>
      </w:r>
      <w:r>
        <w:t xml:space="preserve"> – </w:t>
      </w:r>
      <w:r w:rsidR="00685E30">
        <w:t>have performed poorly, with most</w:t>
      </w:r>
      <w:r>
        <w:t xml:space="preserve"> ta</w:t>
      </w:r>
      <w:r w:rsidR="00CE6A5D">
        <w:t xml:space="preserve">rgets </w:t>
      </w:r>
      <w:r w:rsidR="0008642F">
        <w:t>missed by</w:t>
      </w:r>
      <w:r w:rsidR="002A55C5">
        <w:t xml:space="preserve"> wide margin</w:t>
      </w:r>
      <w:r w:rsidR="0008642F">
        <w:t>s</w:t>
      </w:r>
      <w:r>
        <w:t>.</w:t>
      </w:r>
    </w:p>
    <w:p w14:paraId="3B612B4E" w14:textId="77777777" w:rsidR="00200FDE" w:rsidRDefault="00200FDE" w:rsidP="00200FDE">
      <w:pPr>
        <w:jc w:val="both"/>
      </w:pPr>
    </w:p>
    <w:p w14:paraId="362C463D" w14:textId="0DDF77BE" w:rsidR="004C400D" w:rsidRDefault="00685E30" w:rsidP="00200FDE">
      <w:pPr>
        <w:pStyle w:val="ListParagraph"/>
        <w:numPr>
          <w:ilvl w:val="0"/>
          <w:numId w:val="7"/>
        </w:numPr>
        <w:ind w:hanging="578"/>
        <w:jc w:val="both"/>
      </w:pPr>
      <w:r>
        <w:t xml:space="preserve"> In addition, it is equally</w:t>
      </w:r>
      <w:r w:rsidR="00200FDE">
        <w:t xml:space="preserve"> clear that the quality of some of the </w:t>
      </w:r>
      <w:r w:rsidR="004C400D">
        <w:t>prov</w:t>
      </w:r>
      <w:r w:rsidR="00200FDE">
        <w:t xml:space="preserve">ision that </w:t>
      </w:r>
      <w:r w:rsidR="00200FDE" w:rsidRPr="00200FDE">
        <w:rPr>
          <w:i/>
        </w:rPr>
        <w:t>has</w:t>
      </w:r>
      <w:r w:rsidR="0043450E">
        <w:t xml:space="preserve"> occurred can only be called</w:t>
      </w:r>
      <w:r w:rsidR="00200FDE">
        <w:t xml:space="preserve"> questionable</w:t>
      </w:r>
      <w:r w:rsidR="004C400D">
        <w:t>.</w:t>
      </w:r>
    </w:p>
    <w:p w14:paraId="243914CF" w14:textId="77777777" w:rsidR="00083DC7" w:rsidRDefault="00083DC7" w:rsidP="004C400D">
      <w:pPr>
        <w:ind w:hanging="578"/>
        <w:jc w:val="both"/>
      </w:pPr>
    </w:p>
    <w:p w14:paraId="4DE1AB73" w14:textId="50272231" w:rsidR="00083DC7" w:rsidRDefault="0043450E" w:rsidP="004C400D">
      <w:pPr>
        <w:pStyle w:val="ListParagraph"/>
        <w:numPr>
          <w:ilvl w:val="0"/>
          <w:numId w:val="7"/>
        </w:numPr>
        <w:ind w:hanging="578"/>
        <w:jc w:val="both"/>
      </w:pPr>
      <w:r>
        <w:t xml:space="preserve">On top of everything else, in one case, that of </w:t>
      </w:r>
      <w:r w:rsidR="00D052A7">
        <w:t>O-Regen</w:t>
      </w:r>
      <w:r>
        <w:t xml:space="preserve">, LBWF staff believed that </w:t>
      </w:r>
      <w:r w:rsidR="00D052A7">
        <w:t xml:space="preserve">fraudulent </w:t>
      </w:r>
      <w:r w:rsidR="004C400D">
        <w:t>‘</w:t>
      </w:r>
      <w:r w:rsidR="00083DC7">
        <w:t>double counting</w:t>
      </w:r>
      <w:r w:rsidR="004C400D">
        <w:t>’</w:t>
      </w:r>
      <w:r w:rsidR="00FB57B7">
        <w:t xml:space="preserve"> was occurring, though</w:t>
      </w:r>
      <w:r>
        <w:t xml:space="preserve"> no real disciplinary or legal sanction followed</w:t>
      </w:r>
      <w:r w:rsidR="00083DC7">
        <w:t>.</w:t>
      </w:r>
    </w:p>
    <w:p w14:paraId="7B54A890" w14:textId="77777777" w:rsidR="00083DC7" w:rsidRDefault="00083DC7" w:rsidP="004C400D">
      <w:pPr>
        <w:ind w:hanging="578"/>
        <w:jc w:val="both"/>
      </w:pPr>
    </w:p>
    <w:p w14:paraId="3AB2E053" w14:textId="4C79A72A" w:rsidR="00083DC7" w:rsidRDefault="009E3192" w:rsidP="004C400D">
      <w:pPr>
        <w:pStyle w:val="ListParagraph"/>
        <w:numPr>
          <w:ilvl w:val="0"/>
          <w:numId w:val="7"/>
        </w:numPr>
        <w:ind w:hanging="578"/>
        <w:jc w:val="both"/>
      </w:pPr>
      <w:r>
        <w:t>Faced with the</w:t>
      </w:r>
      <w:r w:rsidR="0043450E">
        <w:t>ir contractors’ failure</w:t>
      </w:r>
      <w:r>
        <w:t xml:space="preserve">, </w:t>
      </w:r>
      <w:r w:rsidR="00083DC7">
        <w:t xml:space="preserve">LBWF </w:t>
      </w:r>
      <w:r w:rsidR="00FB57B7">
        <w:t>time after time</w:t>
      </w:r>
      <w:r w:rsidR="00646556">
        <w:t xml:space="preserve"> </w:t>
      </w:r>
      <w:r w:rsidR="00083DC7">
        <w:t>pa</w:t>
      </w:r>
      <w:r>
        <w:t xml:space="preserve">id out </w:t>
      </w:r>
      <w:r w:rsidR="00BF0E42">
        <w:t>far less than</w:t>
      </w:r>
      <w:r w:rsidR="0043450E">
        <w:t xml:space="preserve"> the sums </w:t>
      </w:r>
      <w:r w:rsidR="00634C96">
        <w:t>initially</w:t>
      </w:r>
      <w:r w:rsidR="0043450E">
        <w:t xml:space="preserve"> </w:t>
      </w:r>
      <w:r>
        <w:t>agreed</w:t>
      </w:r>
      <w:r w:rsidR="00083DC7">
        <w:t>.</w:t>
      </w:r>
    </w:p>
    <w:p w14:paraId="3B50702B" w14:textId="77777777" w:rsidR="004C400D" w:rsidRDefault="004C400D" w:rsidP="004C400D">
      <w:pPr>
        <w:jc w:val="both"/>
      </w:pPr>
    </w:p>
    <w:p w14:paraId="548D4BAF" w14:textId="0D2B3D7A" w:rsidR="00083DC7" w:rsidRDefault="00854D83" w:rsidP="004C400D">
      <w:pPr>
        <w:pStyle w:val="ListParagraph"/>
        <w:numPr>
          <w:ilvl w:val="0"/>
          <w:numId w:val="7"/>
        </w:numPr>
        <w:ind w:hanging="578"/>
        <w:jc w:val="both"/>
      </w:pPr>
      <w:r>
        <w:t>The fate of</w:t>
      </w:r>
      <w:r w:rsidR="007268A0" w:rsidRPr="007268A0">
        <w:t xml:space="preserve"> </w:t>
      </w:r>
      <w:r w:rsidR="0043450E">
        <w:t xml:space="preserve">much of </w:t>
      </w:r>
      <w:r w:rsidR="009E3192" w:rsidRPr="007268A0">
        <w:t>the unspent fundin</w:t>
      </w:r>
      <w:r w:rsidR="007268A0" w:rsidRPr="007268A0">
        <w:t>g</w:t>
      </w:r>
      <w:r w:rsidR="0043450E">
        <w:t xml:space="preserve"> </w:t>
      </w:r>
      <w:r w:rsidR="007268A0" w:rsidRPr="007268A0">
        <w:t>remains unknown</w:t>
      </w:r>
      <w:r w:rsidR="009E3192" w:rsidRPr="007268A0">
        <w:t>, but in t</w:t>
      </w:r>
      <w:r w:rsidR="007268A0" w:rsidRPr="007268A0">
        <w:t>he case of two contracts worth £</w:t>
      </w:r>
      <w:r w:rsidR="007268A0">
        <w:t>4,233,259, it is established</w:t>
      </w:r>
      <w:r w:rsidR="004C400D">
        <w:t xml:space="preserve"> </w:t>
      </w:r>
      <w:r w:rsidR="004C400D" w:rsidRPr="003F0F27">
        <w:t>(</w:t>
      </w:r>
      <w:r w:rsidR="009F5224">
        <w:t>see paragraphs</w:t>
      </w:r>
      <w:r w:rsidR="003F0F27" w:rsidRPr="003F0F27">
        <w:t xml:space="preserve"> 28</w:t>
      </w:r>
      <w:r w:rsidR="004C400D" w:rsidRPr="003F0F27">
        <w:t xml:space="preserve">, </w:t>
      </w:r>
      <w:r w:rsidR="009F5224">
        <w:t>29, 35, and 36</w:t>
      </w:r>
      <w:r w:rsidR="00375B9D" w:rsidRPr="003F0F27">
        <w:t xml:space="preserve"> below)</w:t>
      </w:r>
      <w:r w:rsidR="009E3192" w:rsidRPr="003F0F27">
        <w:t xml:space="preserve"> that a mere £267,705 (or 6</w:t>
      </w:r>
      <w:r w:rsidR="007268A0" w:rsidRPr="003F0F27">
        <w:t xml:space="preserve"> pe</w:t>
      </w:r>
      <w:r w:rsidR="00375B9D" w:rsidRPr="003F0F27">
        <w:t>r cent) was spent as</w:t>
      </w:r>
      <w:r w:rsidR="00375B9D">
        <w:t xml:space="preserve"> envisaged</w:t>
      </w:r>
      <w:r w:rsidR="00D052A7">
        <w:t xml:space="preserve"> (i.e. by the contractor</w:t>
      </w:r>
      <w:r w:rsidR="00375B9D">
        <w:t xml:space="preserve"> between the </w:t>
      </w:r>
      <w:r w:rsidR="004C400D">
        <w:t xml:space="preserve">contract </w:t>
      </w:r>
      <w:r w:rsidR="00375B9D">
        <w:t>start and end dates</w:t>
      </w:r>
      <w:r w:rsidR="00D052A7">
        <w:t>)</w:t>
      </w:r>
      <w:r w:rsidR="00375B9D">
        <w:t xml:space="preserve">, </w:t>
      </w:r>
      <w:r w:rsidR="00BF0E42">
        <w:t xml:space="preserve">while </w:t>
      </w:r>
      <w:r w:rsidR="009E3192" w:rsidRPr="007268A0">
        <w:t xml:space="preserve">£481,773 (11 per cent) was </w:t>
      </w:r>
      <w:r w:rsidR="007268A0">
        <w:t xml:space="preserve">passed on to successor projects, </w:t>
      </w:r>
      <w:r w:rsidR="007268A0" w:rsidRPr="007268A0">
        <w:t>£1,546,249 (37 per cent) was fed into the council’s reserves</w:t>
      </w:r>
      <w:r w:rsidR="007268A0">
        <w:t xml:space="preserve"> and general fund,</w:t>
      </w:r>
      <w:r w:rsidR="007268A0" w:rsidRPr="007268A0">
        <w:t xml:space="preserve"> and </w:t>
      </w:r>
      <w:r w:rsidR="007268A0">
        <w:t xml:space="preserve"> </w:t>
      </w:r>
      <w:r w:rsidR="009E3192" w:rsidRPr="007268A0">
        <w:t xml:space="preserve">£1,937,532 (46 per cent) </w:t>
      </w:r>
      <w:r w:rsidR="007268A0" w:rsidRPr="007268A0">
        <w:t>wa</w:t>
      </w:r>
      <w:r w:rsidR="007268A0">
        <w:t>s un</w:t>
      </w:r>
      <w:r w:rsidR="007268A0" w:rsidRPr="007268A0">
        <w:t xml:space="preserve">claimed </w:t>
      </w:r>
      <w:r w:rsidR="007268A0">
        <w:t>from funders</w:t>
      </w:r>
      <w:r w:rsidR="004C400D">
        <w:t>.</w:t>
      </w:r>
      <w:r w:rsidR="007268A0">
        <w:t xml:space="preserve"> </w:t>
      </w:r>
    </w:p>
    <w:p w14:paraId="6787C691" w14:textId="77777777" w:rsidR="00A839FC" w:rsidRDefault="00A839FC" w:rsidP="00A839FC">
      <w:pPr>
        <w:jc w:val="both"/>
      </w:pPr>
    </w:p>
    <w:p w14:paraId="0B7D7896" w14:textId="5FB59D21" w:rsidR="00A839FC" w:rsidRDefault="00043BFC" w:rsidP="004C400D">
      <w:pPr>
        <w:pStyle w:val="ListParagraph"/>
        <w:numPr>
          <w:ilvl w:val="0"/>
          <w:numId w:val="7"/>
        </w:numPr>
        <w:ind w:hanging="578"/>
        <w:jc w:val="both"/>
      </w:pPr>
      <w:r>
        <w:t>Seeking to provide reassurance, in 2012</w:t>
      </w:r>
      <w:r w:rsidR="00A839FC">
        <w:t xml:space="preserve"> LBWF </w:t>
      </w:r>
      <w:r>
        <w:t xml:space="preserve">commissioned an </w:t>
      </w:r>
      <w:r w:rsidR="00A839FC">
        <w:t xml:space="preserve">audit report on </w:t>
      </w:r>
      <w:r>
        <w:t xml:space="preserve">Worknet, but this turned out to be as </w:t>
      </w:r>
      <w:r w:rsidR="00A839FC">
        <w:t>flawed</w:t>
      </w:r>
      <w:r>
        <w:t xml:space="preserve"> as the programme itself</w:t>
      </w:r>
      <w:r w:rsidR="00A839FC">
        <w:t>.</w:t>
      </w:r>
    </w:p>
    <w:p w14:paraId="3A528E3C" w14:textId="77777777" w:rsidR="004C400D" w:rsidRDefault="004C400D" w:rsidP="004C400D">
      <w:pPr>
        <w:jc w:val="both"/>
      </w:pPr>
    </w:p>
    <w:p w14:paraId="473FC785" w14:textId="4E42F148" w:rsidR="00083DC7" w:rsidRPr="00200FDE" w:rsidRDefault="004C400D" w:rsidP="00646556">
      <w:pPr>
        <w:pStyle w:val="ListParagraph"/>
        <w:numPr>
          <w:ilvl w:val="0"/>
          <w:numId w:val="7"/>
        </w:numPr>
        <w:ind w:hanging="578"/>
        <w:jc w:val="both"/>
      </w:pPr>
      <w:r>
        <w:t>What makes this depr</w:t>
      </w:r>
      <w:r w:rsidR="00E155AF">
        <w:t>essing litany even more concerning</w:t>
      </w:r>
      <w:r>
        <w:t xml:space="preserve"> is the fact that many important </w:t>
      </w:r>
      <w:r w:rsidR="00CE6A5D">
        <w:t>questions about this whole affair</w:t>
      </w:r>
      <w:r w:rsidR="00043BFC">
        <w:t xml:space="preserve"> </w:t>
      </w:r>
      <w:r w:rsidR="00646556">
        <w:t>remain unanswered</w:t>
      </w:r>
    </w:p>
    <w:p w14:paraId="74D6042B" w14:textId="77777777" w:rsidR="00083DC7" w:rsidRDefault="00083DC7" w:rsidP="004C400D">
      <w:pPr>
        <w:ind w:left="360" w:hanging="578"/>
        <w:jc w:val="center"/>
        <w:rPr>
          <w:b/>
        </w:rPr>
      </w:pPr>
    </w:p>
    <w:p w14:paraId="377E12FD" w14:textId="77777777" w:rsidR="007268A0" w:rsidRDefault="007268A0" w:rsidP="004C400D">
      <w:pPr>
        <w:ind w:hanging="578"/>
        <w:rPr>
          <w:b/>
        </w:rPr>
      </w:pPr>
    </w:p>
    <w:p w14:paraId="7AAB4894" w14:textId="77777777" w:rsidR="007268A0" w:rsidRDefault="007268A0" w:rsidP="00083DC7">
      <w:pPr>
        <w:rPr>
          <w:b/>
        </w:rPr>
      </w:pPr>
    </w:p>
    <w:p w14:paraId="53CA1F9F" w14:textId="6151234C" w:rsidR="00083DC7" w:rsidRDefault="002C3F30" w:rsidP="00273D7D">
      <w:pPr>
        <w:tabs>
          <w:tab w:val="left" w:pos="426"/>
        </w:tabs>
        <w:ind w:left="284"/>
        <w:jc w:val="center"/>
      </w:pPr>
      <w:r>
        <w:t>‘“</w:t>
      </w:r>
      <w:r w:rsidR="002A3A33" w:rsidRPr="002A3A33">
        <w:t>Waltham Forest have always said our 2012 Legacy…will be…jobs, education and opportunity…</w:t>
      </w:r>
      <w:r w:rsidR="002A3A33">
        <w:t>H</w:t>
      </w:r>
      <w:r w:rsidR="002A3A33" w:rsidRPr="002A3A33">
        <w:t>uge strides have been taken towards achieving that…with our Worknet jobs programme</w:t>
      </w:r>
      <w:r>
        <w:t>”’</w:t>
      </w:r>
    </w:p>
    <w:p w14:paraId="7CA91CA1" w14:textId="77777777" w:rsidR="002C3F30" w:rsidRPr="002A3A33" w:rsidRDefault="002C3F30" w:rsidP="00273D7D">
      <w:pPr>
        <w:ind w:left="360"/>
        <w:jc w:val="center"/>
      </w:pPr>
    </w:p>
    <w:p w14:paraId="1A99BA1B" w14:textId="0C8685E6" w:rsidR="002A3A33" w:rsidRDefault="002A3A33" w:rsidP="00273D7D">
      <w:pPr>
        <w:ind w:left="360"/>
        <w:jc w:val="center"/>
      </w:pPr>
      <w:r>
        <w:t xml:space="preserve">Cllr. Chris Robbins, </w:t>
      </w:r>
      <w:r w:rsidRPr="002A3A33">
        <w:rPr>
          <w:i/>
        </w:rPr>
        <w:t>WFN</w:t>
      </w:r>
      <w:r>
        <w:t>, issue 7, 2 November 2009</w:t>
      </w:r>
    </w:p>
    <w:p w14:paraId="5391F9E1" w14:textId="77777777" w:rsidR="002C3F30" w:rsidRDefault="002C3F30" w:rsidP="00273D7D">
      <w:pPr>
        <w:ind w:left="360"/>
        <w:jc w:val="center"/>
      </w:pPr>
    </w:p>
    <w:p w14:paraId="222C02AF" w14:textId="3931DB2E" w:rsidR="002C3F30" w:rsidRPr="002A3A33" w:rsidRDefault="002C3F30" w:rsidP="00273D7D">
      <w:pPr>
        <w:ind w:left="360"/>
        <w:jc w:val="center"/>
      </w:pPr>
      <w:r>
        <w:t>‘The Council’s Worknet partnership continues to support local people, finding them further training and employment opportunities in a time when many residents need it the most’</w:t>
      </w:r>
    </w:p>
    <w:p w14:paraId="16856B23" w14:textId="77777777" w:rsidR="002A3A33" w:rsidRDefault="002A3A33" w:rsidP="00273D7D">
      <w:pPr>
        <w:ind w:left="360"/>
        <w:jc w:val="center"/>
        <w:rPr>
          <w:b/>
        </w:rPr>
      </w:pPr>
    </w:p>
    <w:p w14:paraId="176BE294" w14:textId="1AA2DF5C" w:rsidR="002A3A33" w:rsidRDefault="002C3F30" w:rsidP="00273D7D">
      <w:pPr>
        <w:ind w:left="360"/>
        <w:jc w:val="center"/>
      </w:pPr>
      <w:r w:rsidRPr="002C3F30">
        <w:rPr>
          <w:i/>
        </w:rPr>
        <w:t>WFN</w:t>
      </w:r>
      <w:r>
        <w:t>, issue13, 8 February 2010</w:t>
      </w:r>
    </w:p>
    <w:p w14:paraId="20DFF879" w14:textId="77777777" w:rsidR="002A3A33" w:rsidRDefault="002A3A33" w:rsidP="00E155AF">
      <w:pPr>
        <w:rPr>
          <w:b/>
        </w:rPr>
      </w:pPr>
    </w:p>
    <w:p w14:paraId="52A74A50" w14:textId="60AB9515" w:rsidR="009F5224" w:rsidRDefault="009F5224" w:rsidP="009F5224">
      <w:pPr>
        <w:ind w:left="284"/>
        <w:jc w:val="both"/>
        <w:rPr>
          <w:rFonts w:ascii="Georgia" w:hAnsi="Georgia"/>
          <w:sz w:val="30"/>
          <w:szCs w:val="30"/>
        </w:rPr>
      </w:pPr>
      <w:r>
        <w:t>‘</w:t>
      </w:r>
      <w:r w:rsidRPr="009F5224">
        <w:t>As an unemployed person I am not suprised Worknet is under scrutiny. I tried several times to register with them, once before a public holiday, to be told they were winding down and would be fully functioning afte</w:t>
      </w:r>
      <w:r w:rsidR="00AF7DC8">
        <w:t>r it, another when I visited th</w:t>
      </w:r>
      <w:r w:rsidRPr="009F5224">
        <w:t>e</w:t>
      </w:r>
      <w:r w:rsidR="00AF7DC8">
        <w:t>i</w:t>
      </w:r>
      <w:r w:rsidRPr="009F5224">
        <w:t>r office to be told they only register people on a tuesday morning, got there about 10.00am the following tuesday told I was too late and the registering was finished.</w:t>
      </w:r>
      <w:r>
        <w:t xml:space="preserve"> </w:t>
      </w:r>
      <w:r w:rsidRPr="009F5224">
        <w:t>Also they spent a</w:t>
      </w:r>
      <w:r w:rsidR="00AF7DC8">
        <w:t xml:space="preserve"> </w:t>
      </w:r>
      <w:r w:rsidRPr="009F5224">
        <w:t>lot of time shoving people around to various sub-agencies. If you on</w:t>
      </w:r>
      <w:r>
        <w:t xml:space="preserve">ly have 10 people on your books </w:t>
      </w:r>
      <w:r w:rsidRPr="009F5224">
        <w:t>and 9 of them get jobs you have a 90% suc</w:t>
      </w:r>
      <w:r>
        <w:t>c</w:t>
      </w:r>
      <w:r w:rsidRPr="009F5224">
        <w:t>ess rate</w:t>
      </w:r>
      <w:r>
        <w:t>’</w:t>
      </w:r>
      <w:r>
        <w:rPr>
          <w:rFonts w:ascii="Georgia" w:hAnsi="Georgia"/>
          <w:sz w:val="30"/>
          <w:szCs w:val="30"/>
        </w:rPr>
        <w:t>.</w:t>
      </w:r>
    </w:p>
    <w:p w14:paraId="605464B9" w14:textId="77777777" w:rsidR="009F5224" w:rsidRDefault="009F5224" w:rsidP="0006494B">
      <w:pPr>
        <w:ind w:left="360"/>
        <w:jc w:val="both"/>
        <w:rPr>
          <w:b/>
        </w:rPr>
      </w:pPr>
    </w:p>
    <w:p w14:paraId="20A8F7D5" w14:textId="500C38AF" w:rsidR="009F5224" w:rsidRPr="009F5224" w:rsidRDefault="009F5224" w:rsidP="009F5224">
      <w:pPr>
        <w:ind w:left="360"/>
        <w:jc w:val="center"/>
      </w:pPr>
      <w:r w:rsidRPr="009F5224">
        <w:t xml:space="preserve">Comment on the </w:t>
      </w:r>
      <w:r w:rsidRPr="009F5224">
        <w:rPr>
          <w:i/>
        </w:rPr>
        <w:t>Waltham Forest Guardian</w:t>
      </w:r>
      <w:r w:rsidR="00820E19">
        <w:t xml:space="preserve"> we</w:t>
      </w:r>
      <w:r w:rsidR="00427C68">
        <w:t>bsite</w:t>
      </w:r>
      <w:r w:rsidRPr="009F5224">
        <w:t>, 13 December 2012</w:t>
      </w:r>
    </w:p>
    <w:p w14:paraId="76DAC82F" w14:textId="77777777" w:rsidR="009F5224" w:rsidRDefault="009F5224" w:rsidP="0006494B">
      <w:pPr>
        <w:ind w:left="360"/>
        <w:jc w:val="both"/>
        <w:rPr>
          <w:b/>
        </w:rPr>
      </w:pPr>
    </w:p>
    <w:p w14:paraId="423EAD35" w14:textId="77777777" w:rsidR="009F5224" w:rsidRDefault="009F5224" w:rsidP="0006494B">
      <w:pPr>
        <w:ind w:left="360"/>
        <w:jc w:val="both"/>
        <w:rPr>
          <w:b/>
        </w:rPr>
      </w:pPr>
    </w:p>
    <w:p w14:paraId="0D944183" w14:textId="77777777" w:rsidR="0006494B" w:rsidRPr="0083350E" w:rsidRDefault="0006494B" w:rsidP="0006494B">
      <w:pPr>
        <w:ind w:left="360"/>
        <w:jc w:val="both"/>
        <w:rPr>
          <w:b/>
        </w:rPr>
      </w:pPr>
      <w:r w:rsidRPr="0083350E">
        <w:rPr>
          <w:b/>
        </w:rPr>
        <w:t>Background</w:t>
      </w:r>
    </w:p>
    <w:p w14:paraId="0BA1E811" w14:textId="77777777" w:rsidR="0006494B" w:rsidRDefault="0006494B" w:rsidP="0006494B">
      <w:pPr>
        <w:jc w:val="both"/>
      </w:pPr>
    </w:p>
    <w:p w14:paraId="69ABB00C" w14:textId="71ED310E" w:rsidR="00C96C3B" w:rsidRDefault="00427C68" w:rsidP="00C96C3B">
      <w:pPr>
        <w:pStyle w:val="ListParagraph"/>
        <w:numPr>
          <w:ilvl w:val="0"/>
          <w:numId w:val="1"/>
        </w:numPr>
        <w:jc w:val="both"/>
      </w:pPr>
      <w:r>
        <w:t xml:space="preserve">From 2008 onwards, </w:t>
      </w:r>
      <w:r w:rsidR="0006494B">
        <w:t>LBWF</w:t>
      </w:r>
      <w:r w:rsidR="007576B7">
        <w:t xml:space="preserve"> has run a </w:t>
      </w:r>
      <w:r w:rsidR="0006494B">
        <w:t>programme</w:t>
      </w:r>
      <w:r w:rsidR="007576B7">
        <w:t xml:space="preserve"> called Worknet</w:t>
      </w:r>
      <w:r w:rsidR="0006494B">
        <w:t xml:space="preserve">, </w:t>
      </w:r>
      <w:r w:rsidR="00ED5D34">
        <w:t xml:space="preserve">encompassing a variety of interlinked projects </w:t>
      </w:r>
      <w:r w:rsidR="0006494B">
        <w:t xml:space="preserve">aimed at addressing joblessness in poorer areas, through the provision of </w:t>
      </w:r>
      <w:r w:rsidR="005B57C5">
        <w:t xml:space="preserve">advice, </w:t>
      </w:r>
      <w:r w:rsidR="0006494B">
        <w:t>training, mentoring, job experience,</w:t>
      </w:r>
      <w:r w:rsidR="00470862">
        <w:t xml:space="preserve"> </w:t>
      </w:r>
      <w:r w:rsidR="005B57C5">
        <w:t>and employment opportunities</w:t>
      </w:r>
      <w:r w:rsidR="0006494B">
        <w:t>.</w:t>
      </w:r>
    </w:p>
    <w:p w14:paraId="43E22BE7" w14:textId="0AAD537C" w:rsidR="00C96C3B" w:rsidRDefault="0006494B" w:rsidP="00C96C3B">
      <w:pPr>
        <w:pStyle w:val="ListParagraph"/>
        <w:numPr>
          <w:ilvl w:val="0"/>
          <w:numId w:val="1"/>
        </w:numPr>
        <w:jc w:val="both"/>
      </w:pPr>
      <w:r>
        <w:t xml:space="preserve">The </w:t>
      </w:r>
      <w:r w:rsidR="00AA6F4E">
        <w:t xml:space="preserve">great bulk of the </w:t>
      </w:r>
      <w:r>
        <w:t xml:space="preserve">finance has come </w:t>
      </w:r>
      <w:r w:rsidR="00AA6F4E">
        <w:t>from the DCLG’s Working Neighbourhoods Fund, the DWP City Strategy Pathfinder programme, and the GLA/</w:t>
      </w:r>
      <w:r>
        <w:t>London Development Agency</w:t>
      </w:r>
      <w:r w:rsidR="001E0C68">
        <w:t xml:space="preserve"> (LDA)</w:t>
      </w:r>
      <w:r w:rsidR="00AA6F4E">
        <w:t xml:space="preserve"> – sources worth, respectively, between £5.1 and £3.2m., £2.6m., and £2.8m. (Cabinet minutes, March 2009, June 2010, and September 2010; Rocket Science, </w:t>
      </w:r>
      <w:r w:rsidR="00AA6F4E" w:rsidRPr="005B57C5">
        <w:rPr>
          <w:i/>
        </w:rPr>
        <w:t>Worknet Partnership Evaluation. Final</w:t>
      </w:r>
      <w:r w:rsidR="00AA6F4E">
        <w:rPr>
          <w:i/>
        </w:rPr>
        <w:t xml:space="preserve"> R</w:t>
      </w:r>
      <w:r w:rsidR="00AA6F4E" w:rsidRPr="005B57C5">
        <w:rPr>
          <w:i/>
        </w:rPr>
        <w:t>eport</w:t>
      </w:r>
      <w:r w:rsidR="00AA6F4E">
        <w:t xml:space="preserve">  (July 2010), p.17).</w:t>
      </w:r>
    </w:p>
    <w:p w14:paraId="23D64E2B" w14:textId="1FDB53F9" w:rsidR="00C96C3B" w:rsidRDefault="0006494B" w:rsidP="00C96C3B">
      <w:pPr>
        <w:pStyle w:val="ListParagraph"/>
        <w:numPr>
          <w:ilvl w:val="0"/>
          <w:numId w:val="1"/>
        </w:numPr>
        <w:jc w:val="both"/>
      </w:pPr>
      <w:r>
        <w:t>Delivery has been by a</w:t>
      </w:r>
      <w:r w:rsidR="002A1B73">
        <w:t xml:space="preserve"> succession of outside contractors</w:t>
      </w:r>
      <w:r>
        <w:t xml:space="preserve">, working either on their own or in syndicates </w:t>
      </w:r>
      <w:r w:rsidR="00F15DAD">
        <w:t xml:space="preserve">(sometimes involving </w:t>
      </w:r>
      <w:r>
        <w:t>subcontracting</w:t>
      </w:r>
      <w:r w:rsidR="00314C1F">
        <w:t>)</w:t>
      </w:r>
      <w:r>
        <w:t xml:space="preserve">. In all, it appears that some 15 </w:t>
      </w:r>
      <w:r w:rsidR="00FE7BAE">
        <w:t xml:space="preserve">outside </w:t>
      </w:r>
      <w:r>
        <w:t>organisations may have been involved</w:t>
      </w:r>
      <w:r w:rsidR="00311FFE">
        <w:t xml:space="preserve"> at one time or another</w:t>
      </w:r>
      <w:r w:rsidR="00A77E06">
        <w:t>, with 10 at the core</w:t>
      </w:r>
      <w:r>
        <w:t>.</w:t>
      </w:r>
    </w:p>
    <w:p w14:paraId="2ADF25DE" w14:textId="79C81B66" w:rsidR="00A77E06" w:rsidRDefault="00596A1E" w:rsidP="00A77E06">
      <w:pPr>
        <w:pStyle w:val="ListParagraph"/>
        <w:numPr>
          <w:ilvl w:val="0"/>
          <w:numId w:val="1"/>
        </w:numPr>
        <w:jc w:val="both"/>
      </w:pPr>
      <w:r>
        <w:t>According to a Freedom of Information</w:t>
      </w:r>
      <w:r w:rsidR="00456BC5">
        <w:t xml:space="preserve"> Act</w:t>
      </w:r>
      <w:r w:rsidR="00CF0497">
        <w:t xml:space="preserve"> (FIA)</w:t>
      </w:r>
      <w:r>
        <w:t xml:space="preserve"> deposition of 22 June 2012, Worknet</w:t>
      </w:r>
      <w:r w:rsidR="004C400D">
        <w:t xml:space="preserve"> has involved 19 </w:t>
      </w:r>
      <w:r w:rsidR="003F0F27">
        <w:t xml:space="preserve">separate </w:t>
      </w:r>
      <w:r w:rsidR="00A77E06">
        <w:t>contracts</w:t>
      </w:r>
      <w:r>
        <w:t xml:space="preserve"> worth £9,038,</w:t>
      </w:r>
      <w:r w:rsidR="00C96C3B">
        <w:t xml:space="preserve">938, </w:t>
      </w:r>
      <w:r w:rsidR="007576B7">
        <w:t>with</w:t>
      </w:r>
      <w:r w:rsidR="00A77E06">
        <w:t xml:space="preserve"> </w:t>
      </w:r>
      <w:r w:rsidR="00C96C3B">
        <w:t>the four biggest beneficiaries being Ke</w:t>
      </w:r>
      <w:r w:rsidR="007576B7">
        <w:t>nnedy Scott (£3,094,876</w:t>
      </w:r>
      <w:r w:rsidR="00854D83">
        <w:t xml:space="preserve"> or 34 per cent of the whole);</w:t>
      </w:r>
      <w:r w:rsidR="00C96C3B">
        <w:t xml:space="preserve"> Widows and Orphans International (£2,007,535 or 22 per cent of the whole); O-Regen (£1,250,319 or 14</w:t>
      </w:r>
      <w:r w:rsidR="00802BE0">
        <w:t xml:space="preserve"> per cent of the whole); and Ree</w:t>
      </w:r>
      <w:r w:rsidR="00427C68">
        <w:t>d in Partnership</w:t>
      </w:r>
      <w:r w:rsidR="003B5E50">
        <w:t xml:space="preserve"> </w:t>
      </w:r>
      <w:r w:rsidR="00C96C3B">
        <w:t>(£613,395 or 7 per cent of the whole).</w:t>
      </w:r>
    </w:p>
    <w:p w14:paraId="34D169A6" w14:textId="18D3B24F" w:rsidR="00236455" w:rsidRDefault="00236455" w:rsidP="00236455">
      <w:pPr>
        <w:pStyle w:val="ListParagraph"/>
        <w:numPr>
          <w:ilvl w:val="0"/>
          <w:numId w:val="1"/>
        </w:numPr>
        <w:jc w:val="both"/>
      </w:pPr>
      <w:r>
        <w:t>Today, all that is left of the Worknet programme is the contra</w:t>
      </w:r>
      <w:r w:rsidR="003F0F27">
        <w:t>ct with Reed in Partnership</w:t>
      </w:r>
      <w:r>
        <w:t>, begun in 2011 and lasting through to 2014.</w:t>
      </w:r>
    </w:p>
    <w:p w14:paraId="166A2E69" w14:textId="4B615950" w:rsidR="002628F9" w:rsidRDefault="002628F9" w:rsidP="00236455">
      <w:pPr>
        <w:pStyle w:val="ListParagraph"/>
        <w:numPr>
          <w:ilvl w:val="0"/>
          <w:numId w:val="1"/>
        </w:numPr>
        <w:jc w:val="both"/>
      </w:pPr>
      <w:r>
        <w:t>In all cases, as far as can be ascertained, payments to contractors were based on achieved results, plus varying up-front sums to cover set-up.</w:t>
      </w:r>
    </w:p>
    <w:p w14:paraId="607E750C" w14:textId="2EF49D77" w:rsidR="00142D3A" w:rsidRPr="002A55C5" w:rsidRDefault="00142D3A" w:rsidP="0006494B">
      <w:pPr>
        <w:pStyle w:val="ListParagraph"/>
        <w:numPr>
          <w:ilvl w:val="0"/>
          <w:numId w:val="1"/>
        </w:numPr>
        <w:jc w:val="both"/>
      </w:pPr>
      <w:r>
        <w:t xml:space="preserve">What follows summarises some of my ongoing </w:t>
      </w:r>
      <w:r w:rsidR="00CF0497">
        <w:t>in</w:t>
      </w:r>
      <w:r w:rsidR="002A1B73">
        <w:t>quiries, focusing first on four</w:t>
      </w:r>
      <w:r>
        <w:t xml:space="preserve"> case studies, and then turni</w:t>
      </w:r>
      <w:r w:rsidR="004C400D">
        <w:t xml:space="preserve">ng to some general observations about why the programme went wrong, and </w:t>
      </w:r>
      <w:r w:rsidR="00AD5BF4">
        <w:t xml:space="preserve">the </w:t>
      </w:r>
      <w:r w:rsidR="004C400D">
        <w:t xml:space="preserve">issues that remain to be </w:t>
      </w:r>
      <w:r w:rsidR="004C400D" w:rsidRPr="002A55C5">
        <w:t>resolved.</w:t>
      </w:r>
    </w:p>
    <w:p w14:paraId="569175CF" w14:textId="0C6C4590" w:rsidR="002A55C5" w:rsidRPr="002A55C5" w:rsidRDefault="002A55C5" w:rsidP="00142D3A">
      <w:pPr>
        <w:pStyle w:val="ListParagraph"/>
        <w:numPr>
          <w:ilvl w:val="0"/>
          <w:numId w:val="1"/>
        </w:numPr>
        <w:jc w:val="both"/>
      </w:pPr>
      <w:r w:rsidRPr="002A55C5">
        <w:t xml:space="preserve">As to source material, since </w:t>
      </w:r>
      <w:r w:rsidR="009B655F" w:rsidRPr="002A55C5">
        <w:t>LBWF has published relatively little a</w:t>
      </w:r>
      <w:r w:rsidRPr="002A55C5">
        <w:t xml:space="preserve">bout the Worknet programme, I have been forced to rely </w:t>
      </w:r>
      <w:r w:rsidR="003F0F27">
        <w:t xml:space="preserve">almost exclusively </w:t>
      </w:r>
      <w:r w:rsidRPr="002A55C5">
        <w:t xml:space="preserve">on </w:t>
      </w:r>
      <w:r w:rsidR="009E753A">
        <w:t xml:space="preserve">inquiries under </w:t>
      </w:r>
      <w:r w:rsidRPr="002A55C5">
        <w:t xml:space="preserve">the </w:t>
      </w:r>
      <w:r w:rsidR="00CF0497" w:rsidRPr="002A55C5">
        <w:t>FIA</w:t>
      </w:r>
      <w:r w:rsidRPr="002A55C5">
        <w:t xml:space="preserve">. </w:t>
      </w:r>
    </w:p>
    <w:p w14:paraId="1EE03D11" w14:textId="238C300C" w:rsidR="00077A54" w:rsidRPr="003F0F27" w:rsidRDefault="00C26450" w:rsidP="00142D3A">
      <w:pPr>
        <w:pStyle w:val="ListParagraph"/>
        <w:numPr>
          <w:ilvl w:val="0"/>
          <w:numId w:val="1"/>
        </w:numPr>
        <w:jc w:val="both"/>
      </w:pPr>
      <w:r w:rsidRPr="003F0F27">
        <w:t xml:space="preserve">LBWF’s attitude to such </w:t>
      </w:r>
      <w:r w:rsidR="002A55C5" w:rsidRPr="003F0F27">
        <w:t>questioning has hardly been constructive, and</w:t>
      </w:r>
      <w:r w:rsidRPr="003F0F27">
        <w:t xml:space="preserve"> my experience has often been akin to </w:t>
      </w:r>
      <w:r w:rsidR="00513AB6" w:rsidRPr="003F0F27">
        <w:t xml:space="preserve">involvement in </w:t>
      </w:r>
      <w:r w:rsidR="009E753A" w:rsidRPr="003F0F27">
        <w:t>a game of hide and seek. Indicatively, e</w:t>
      </w:r>
      <w:r w:rsidRPr="003F0F27">
        <w:t>ven when I have wo</w:t>
      </w:r>
      <w:r w:rsidR="00B437B1">
        <w:t>n appeals against LBWF stonewalling</w:t>
      </w:r>
      <w:r w:rsidRPr="003F0F27">
        <w:t>, the process has taken longer than specified by the law.</w:t>
      </w:r>
    </w:p>
    <w:p w14:paraId="4DB852C4" w14:textId="4D61B837" w:rsidR="00E44B38" w:rsidRPr="00456BC5" w:rsidRDefault="00B437B1" w:rsidP="00142D3A">
      <w:pPr>
        <w:pStyle w:val="ListParagraph"/>
        <w:numPr>
          <w:ilvl w:val="0"/>
          <w:numId w:val="1"/>
        </w:numPr>
        <w:jc w:val="both"/>
      </w:pPr>
      <w:r>
        <w:t xml:space="preserve">What has made the situation </w:t>
      </w:r>
      <w:r w:rsidR="009E753A">
        <w:t xml:space="preserve">more difficult is the fact that, since LBWF’s record keeping has always been rather poor, </w:t>
      </w:r>
      <w:r w:rsidR="00456BC5" w:rsidRPr="00456BC5">
        <w:t xml:space="preserve">key documents and series – for example, the records of the </w:t>
      </w:r>
      <w:r w:rsidR="00456BC5">
        <w:t xml:space="preserve">Worknet Steering Group and the Worknet </w:t>
      </w:r>
      <w:r w:rsidR="009E753A">
        <w:t>Partnership Programme Board</w:t>
      </w:r>
      <w:r w:rsidR="003F0F27">
        <w:t>, most of the Widows and Orphans International monitoring minutes, and so on</w:t>
      </w:r>
      <w:r w:rsidR="009E753A">
        <w:t xml:space="preserve"> – anyway turn out to have gone missing </w:t>
      </w:r>
      <w:r w:rsidR="00456BC5">
        <w:t>(Agass-Tiratsoo, 18 December 2012, and 8 January 2013</w:t>
      </w:r>
      <w:r>
        <w:t xml:space="preserve">; LBWF Internal Audit, </w:t>
      </w:r>
      <w:r w:rsidRPr="00B437B1">
        <w:rPr>
          <w:i/>
        </w:rPr>
        <w:t>Final Audit Report on Worknet</w:t>
      </w:r>
      <w:r>
        <w:t xml:space="preserve"> (September 2012), pp.3-4</w:t>
      </w:r>
      <w:r w:rsidR="00456BC5">
        <w:t>).</w:t>
      </w:r>
    </w:p>
    <w:p w14:paraId="7883A0C0" w14:textId="2C644727" w:rsidR="00CF0497" w:rsidRDefault="00B437B1" w:rsidP="00142D3A">
      <w:pPr>
        <w:pStyle w:val="ListParagraph"/>
        <w:numPr>
          <w:ilvl w:val="0"/>
          <w:numId w:val="1"/>
        </w:numPr>
        <w:jc w:val="both"/>
      </w:pPr>
      <w:r>
        <w:t>Finally, t</w:t>
      </w:r>
      <w:r w:rsidR="00456BC5">
        <w:t xml:space="preserve">o make matters </w:t>
      </w:r>
      <w:r>
        <w:t xml:space="preserve">yet </w:t>
      </w:r>
      <w:r w:rsidR="00456BC5">
        <w:t>worse</w:t>
      </w:r>
      <w:r w:rsidR="004C400D">
        <w:t>, when questioned</w:t>
      </w:r>
      <w:r w:rsidR="00CF0497">
        <w:t xml:space="preserve"> </w:t>
      </w:r>
      <w:r w:rsidR="00513AB6">
        <w:t xml:space="preserve">under the FIA </w:t>
      </w:r>
      <w:r w:rsidR="00CF0497">
        <w:t>about individual contracts, LB</w:t>
      </w:r>
      <w:r w:rsidR="004C400D">
        <w:t xml:space="preserve">WF </w:t>
      </w:r>
      <w:r w:rsidR="00AD5BF4">
        <w:t>h</w:t>
      </w:r>
      <w:r w:rsidR="0008642F">
        <w:t>as sometimes changed its story</w:t>
      </w:r>
      <w:r w:rsidR="00AD5BF4">
        <w:t xml:space="preserve"> over time</w:t>
      </w:r>
      <w:r w:rsidR="00732138">
        <w:t>.</w:t>
      </w:r>
    </w:p>
    <w:p w14:paraId="31CB6E99" w14:textId="07CC11ED" w:rsidR="00732138" w:rsidRDefault="00AD5BF4" w:rsidP="00142D3A">
      <w:pPr>
        <w:pStyle w:val="ListParagraph"/>
        <w:numPr>
          <w:ilvl w:val="0"/>
          <w:numId w:val="1"/>
        </w:numPr>
        <w:jc w:val="both"/>
      </w:pPr>
      <w:r>
        <w:t xml:space="preserve">Thus, in regard to </w:t>
      </w:r>
      <w:r w:rsidR="00732138">
        <w:t>the number o</w:t>
      </w:r>
      <w:r>
        <w:t>f contrac</w:t>
      </w:r>
      <w:r w:rsidR="00513AB6">
        <w:t xml:space="preserve">ts awarded to O-Regen, </w:t>
      </w:r>
      <w:r w:rsidR="009E753A">
        <w:t>early responses</w:t>
      </w:r>
      <w:r>
        <w:t xml:space="preserve"> listed five in total, </w:t>
      </w:r>
      <w:r w:rsidR="00513AB6">
        <w:t xml:space="preserve">later </w:t>
      </w:r>
      <w:r w:rsidR="002653EC">
        <w:t>only three (cf. Guilford–Tiratsoo, 9 March 2012 and Boyes-Tiratsoo, 22 June 2012).</w:t>
      </w:r>
    </w:p>
    <w:p w14:paraId="2601F366" w14:textId="24D53E05" w:rsidR="002653EC" w:rsidRDefault="00AD5BF4" w:rsidP="00142D3A">
      <w:pPr>
        <w:pStyle w:val="ListParagraph"/>
        <w:numPr>
          <w:ilvl w:val="0"/>
          <w:numId w:val="1"/>
        </w:numPr>
        <w:jc w:val="both"/>
      </w:pPr>
      <w:r>
        <w:t xml:space="preserve"> More notably still, </w:t>
      </w:r>
      <w:r w:rsidR="00427C68">
        <w:t>and as will be expanded upon</w:t>
      </w:r>
      <w:r w:rsidR="00C01D17">
        <w:t xml:space="preserve"> later</w:t>
      </w:r>
      <w:r w:rsidR="00B437B1">
        <w:t xml:space="preserve">, </w:t>
      </w:r>
      <w:r>
        <w:t>LBWF’</w:t>
      </w:r>
      <w:r w:rsidR="00E155AF">
        <w:t>s</w:t>
      </w:r>
      <w:r>
        <w:t xml:space="preserve"> initial account of its relationship</w:t>
      </w:r>
      <w:r w:rsidR="00F4674D">
        <w:t xml:space="preserve"> with Widows and Orphans</w:t>
      </w:r>
      <w:r w:rsidR="00456BC5">
        <w:t xml:space="preserve"> International</w:t>
      </w:r>
      <w:r w:rsidR="002A55C5">
        <w:t xml:space="preserve"> recently</w:t>
      </w:r>
      <w:r w:rsidR="00F4674D">
        <w:t xml:space="preserve"> has been substantially modified</w:t>
      </w:r>
      <w:r w:rsidR="00AF6EAB">
        <w:t>, with a significant writing down of the money involved</w:t>
      </w:r>
      <w:r>
        <w:t>.</w:t>
      </w:r>
    </w:p>
    <w:p w14:paraId="4E681D3A" w14:textId="77777777" w:rsidR="00592FAA" w:rsidRDefault="00592FAA" w:rsidP="00592FAA">
      <w:pPr>
        <w:ind w:left="360"/>
        <w:jc w:val="both"/>
      </w:pPr>
    </w:p>
    <w:p w14:paraId="43411B2F" w14:textId="687A132C" w:rsidR="00592FAA" w:rsidRDefault="00592FAA" w:rsidP="00592FAA">
      <w:pPr>
        <w:ind w:left="360"/>
        <w:jc w:val="both"/>
        <w:rPr>
          <w:b/>
        </w:rPr>
      </w:pPr>
      <w:r w:rsidRPr="00592FAA">
        <w:rPr>
          <w:b/>
        </w:rPr>
        <w:t>O-Regen</w:t>
      </w:r>
    </w:p>
    <w:p w14:paraId="782B86F8" w14:textId="2EF9B333" w:rsidR="0034373E" w:rsidRDefault="0034373E" w:rsidP="009B655F">
      <w:pPr>
        <w:jc w:val="both"/>
      </w:pPr>
    </w:p>
    <w:p w14:paraId="4130FF0E" w14:textId="01D16640" w:rsidR="0006494B" w:rsidRDefault="0034373E" w:rsidP="0006494B">
      <w:pPr>
        <w:pStyle w:val="ListParagraph"/>
        <w:numPr>
          <w:ilvl w:val="0"/>
          <w:numId w:val="1"/>
        </w:numPr>
        <w:jc w:val="both"/>
      </w:pPr>
      <w:r>
        <w:t xml:space="preserve">Between </w:t>
      </w:r>
      <w:r w:rsidR="0006494B">
        <w:t>2008 and 201</w:t>
      </w:r>
      <w:r>
        <w:t xml:space="preserve">0, </w:t>
      </w:r>
      <w:r w:rsidR="009B655F">
        <w:t xml:space="preserve">the local registered charity </w:t>
      </w:r>
      <w:r>
        <w:t>O-Regen</w:t>
      </w:r>
      <w:r w:rsidR="00854D83">
        <w:t xml:space="preserve"> (which had </w:t>
      </w:r>
      <w:r w:rsidR="00236455">
        <w:t xml:space="preserve">very </w:t>
      </w:r>
      <w:r w:rsidR="00854D83">
        <w:t xml:space="preserve">close links </w:t>
      </w:r>
      <w:r w:rsidR="002A1B73">
        <w:t>with LBWF, and</w:t>
      </w:r>
      <w:r w:rsidR="00236455">
        <w:t xml:space="preserve"> Councillors on its board</w:t>
      </w:r>
      <w:r w:rsidR="00854D83">
        <w:t>)</w:t>
      </w:r>
      <w:r>
        <w:t xml:space="preserve"> ran four Worknet</w:t>
      </w:r>
      <w:r w:rsidR="0021172B">
        <w:t xml:space="preserve"> contracts, worth c. £202</w:t>
      </w:r>
      <w:r w:rsidR="0006494B">
        <w:t>,000</w:t>
      </w:r>
      <w:r w:rsidR="0021172B">
        <w:t>, with the start dates being 2 June 2008, 1 April 2009, 1 August 2009, and 1 April 2010)</w:t>
      </w:r>
      <w:r w:rsidR="0006494B">
        <w:t>.</w:t>
      </w:r>
    </w:p>
    <w:p w14:paraId="0FB598ED" w14:textId="7AAFC10E" w:rsidR="0006494B" w:rsidRDefault="0006494B" w:rsidP="0006494B">
      <w:pPr>
        <w:pStyle w:val="ListParagraph"/>
        <w:numPr>
          <w:ilvl w:val="0"/>
          <w:numId w:val="1"/>
        </w:numPr>
        <w:jc w:val="both"/>
      </w:pPr>
      <w:r>
        <w:t xml:space="preserve">It seems almost certain that </w:t>
      </w:r>
      <w:r w:rsidRPr="005743CE">
        <w:rPr>
          <w:i/>
        </w:rPr>
        <w:t>in each case</w:t>
      </w:r>
      <w:r>
        <w:t xml:space="preserve"> O-Re</w:t>
      </w:r>
      <w:r w:rsidR="007576B7">
        <w:t>gen failed to deliver as promised</w:t>
      </w:r>
      <w:r>
        <w:t xml:space="preserve">, and indeed on occasion spectacularly missed the agreed </w:t>
      </w:r>
      <w:r w:rsidR="0034373E">
        <w:t>outp</w:t>
      </w:r>
      <w:r w:rsidR="00A022F3">
        <w:t>ut targets (</w:t>
      </w:r>
      <w:r w:rsidR="001E0C68">
        <w:t>Edwards-</w:t>
      </w:r>
      <w:r w:rsidR="00B164F5">
        <w:t>Tiratsoo, 28 September 2011</w:t>
      </w:r>
      <w:r w:rsidR="00ED5D34">
        <w:t>)</w:t>
      </w:r>
      <w:r>
        <w:t>.</w:t>
      </w:r>
    </w:p>
    <w:p w14:paraId="20246A64" w14:textId="14FA53F4" w:rsidR="0060707C" w:rsidRDefault="00421602" w:rsidP="0006494B">
      <w:pPr>
        <w:pStyle w:val="ListParagraph"/>
        <w:numPr>
          <w:ilvl w:val="0"/>
          <w:numId w:val="1"/>
        </w:numPr>
        <w:jc w:val="both"/>
      </w:pPr>
      <w:r>
        <w:t xml:space="preserve">Despite such poor performance, </w:t>
      </w:r>
      <w:r w:rsidR="00B61BCE">
        <w:t xml:space="preserve">LBWF </w:t>
      </w:r>
      <w:r>
        <w:t xml:space="preserve">ran these contracts to their end dates, and paid out </w:t>
      </w:r>
      <w:r w:rsidR="00B61BCE">
        <w:t>about 83 per cen</w:t>
      </w:r>
      <w:r>
        <w:t>t of their total value</w:t>
      </w:r>
      <w:r w:rsidR="00B61BCE">
        <w:t xml:space="preserve">. </w:t>
      </w:r>
    </w:p>
    <w:p w14:paraId="7827B6F1" w14:textId="341520AB" w:rsidR="0006494B" w:rsidRDefault="0006494B" w:rsidP="00142D3A">
      <w:pPr>
        <w:pStyle w:val="ListParagraph"/>
        <w:numPr>
          <w:ilvl w:val="0"/>
          <w:numId w:val="1"/>
        </w:numPr>
        <w:jc w:val="both"/>
      </w:pPr>
      <w:r>
        <w:t>During this period, as is now well documented, O-Regen was descending into near chaos, with substantial annual operating losses - £0.5m. in both 2009 and 2010 – foreshadowing its May 2011 collapse into administration</w:t>
      </w:r>
      <w:r w:rsidR="00854D83">
        <w:t xml:space="preserve"> (well illustrated in the</w:t>
      </w:r>
      <w:r w:rsidR="001A65DD">
        <w:t xml:space="preserve"> first and second reports by Maidment Jud</w:t>
      </w:r>
      <w:r w:rsidR="00854D83">
        <w:t>d, the administrator)</w:t>
      </w:r>
      <w:r w:rsidR="00142D3A">
        <w:t>.</w:t>
      </w:r>
    </w:p>
    <w:p w14:paraId="26A241AD" w14:textId="075D2588" w:rsidR="0006494B" w:rsidRDefault="005743CE" w:rsidP="0006494B">
      <w:pPr>
        <w:pStyle w:val="ListParagraph"/>
        <w:numPr>
          <w:ilvl w:val="0"/>
          <w:numId w:val="1"/>
        </w:numPr>
        <w:jc w:val="both"/>
      </w:pPr>
      <w:r>
        <w:t>Ho</w:t>
      </w:r>
      <w:r w:rsidR="003B5E50">
        <w:t>wever, extraordinary as it may seem</w:t>
      </w:r>
      <w:r>
        <w:t>, i</w:t>
      </w:r>
      <w:r w:rsidR="0006494B">
        <w:t>n July 2010</w:t>
      </w:r>
      <w:r w:rsidR="00236455">
        <w:t>,</w:t>
      </w:r>
      <w:r w:rsidR="0006494B">
        <w:t xml:space="preserve"> LBWF awarded O-Regen a further contract, this time worth no less than £1,138,383 and entitled ‘Outreach and Employment Support’.</w:t>
      </w:r>
    </w:p>
    <w:p w14:paraId="39BE42B8" w14:textId="1343D160" w:rsidR="0006494B" w:rsidRDefault="009B655F" w:rsidP="0006494B">
      <w:pPr>
        <w:pStyle w:val="ListParagraph"/>
        <w:numPr>
          <w:ilvl w:val="0"/>
          <w:numId w:val="1"/>
        </w:numPr>
        <w:jc w:val="both"/>
      </w:pPr>
      <w:r>
        <w:t xml:space="preserve">In answer to </w:t>
      </w:r>
      <w:r w:rsidR="00ED5D34">
        <w:t>F</w:t>
      </w:r>
      <w:r w:rsidR="00E155AF">
        <w:t>IA requests, LBWF has been</w:t>
      </w:r>
      <w:r w:rsidR="0006494B">
        <w:t xml:space="preserve"> unable to provide some important material regarding the award of this co</w:t>
      </w:r>
      <w:r w:rsidR="001A65DD">
        <w:t xml:space="preserve">ntract, including the </w:t>
      </w:r>
      <w:r w:rsidR="00ED5D34">
        <w:t>documentation submitted by other bidders.</w:t>
      </w:r>
    </w:p>
    <w:p w14:paraId="53126183" w14:textId="5B9264D7" w:rsidR="0006494B" w:rsidRDefault="0006494B" w:rsidP="0006494B">
      <w:pPr>
        <w:pStyle w:val="ListParagraph"/>
        <w:numPr>
          <w:ilvl w:val="0"/>
          <w:numId w:val="1"/>
        </w:numPr>
        <w:jc w:val="both"/>
      </w:pPr>
      <w:r>
        <w:t>O-Regen’s delivery plan involved it doing some of the work, and sub-contracting the rest to CBHA</w:t>
      </w:r>
      <w:r w:rsidR="00ED5D34">
        <w:t xml:space="preserve"> (a local RSL)</w:t>
      </w:r>
      <w:r>
        <w:t>, Prodiverse, and Seetec (which dropped out very early on).</w:t>
      </w:r>
    </w:p>
    <w:p w14:paraId="0333C22C" w14:textId="77777777" w:rsidR="0006494B" w:rsidRDefault="0006494B" w:rsidP="0006494B">
      <w:pPr>
        <w:pStyle w:val="ListParagraph"/>
        <w:numPr>
          <w:ilvl w:val="0"/>
          <w:numId w:val="1"/>
        </w:numPr>
        <w:jc w:val="both"/>
      </w:pPr>
      <w:r>
        <w:t xml:space="preserve">When the project started, LBWF officers rapidly became highly critical of O-Regen’s performance, citing </w:t>
      </w:r>
      <w:r w:rsidRPr="00BF210D">
        <w:rPr>
          <w:i/>
        </w:rPr>
        <w:t>inter alia</w:t>
      </w:r>
      <w:r>
        <w:t xml:space="preserve"> disorganization, lack of collaboration between partners, and inadequate information about what was actually being delivered.</w:t>
      </w:r>
    </w:p>
    <w:p w14:paraId="73ACD4D1" w14:textId="68F80232" w:rsidR="0006494B" w:rsidRDefault="0006494B" w:rsidP="0006494B">
      <w:pPr>
        <w:pStyle w:val="ListParagraph"/>
        <w:numPr>
          <w:ilvl w:val="0"/>
          <w:numId w:val="1"/>
        </w:numPr>
        <w:jc w:val="both"/>
      </w:pPr>
      <w:r>
        <w:t xml:space="preserve">On 12 August 2010, monitoring meeting minutes recorded that ‘investigations with front line delivery staff have confirmed that they have not been allocated to the project </w:t>
      </w:r>
      <w:r w:rsidRPr="007766A2">
        <w:rPr>
          <w:i/>
        </w:rPr>
        <w:t>as made to believe</w:t>
      </w:r>
      <w:r>
        <w:t xml:space="preserve"> but are instead reporting outcomes and outputs to other more prioritized fun</w:t>
      </w:r>
      <w:r w:rsidR="00214E98">
        <w:t>ded projects [emphasi</w:t>
      </w:r>
      <w:r w:rsidR="00236455">
        <w:t>s added]’</w:t>
      </w:r>
      <w:r w:rsidR="00214E98">
        <w:t xml:space="preserve">, </w:t>
      </w:r>
      <w:r>
        <w:t>and the same point was repeated on 22 October</w:t>
      </w:r>
      <w:r w:rsidR="00214E98">
        <w:t>.</w:t>
      </w:r>
    </w:p>
    <w:p w14:paraId="486D5708" w14:textId="0D791DC5" w:rsidR="0006494B" w:rsidRDefault="0006494B" w:rsidP="0006494B">
      <w:pPr>
        <w:pStyle w:val="ListParagraph"/>
        <w:numPr>
          <w:ilvl w:val="0"/>
          <w:numId w:val="1"/>
        </w:numPr>
        <w:jc w:val="both"/>
      </w:pPr>
      <w:r>
        <w:t>On 2 November 2010, a LBWF auditor told the monitoring meeting that there were problems ‘across the board’, and explicitly cited, first, ‘double counting’ (‘Some files contained evidence of Next Step – another LDA funded programme’) and, second, pre-signed time sheets.</w:t>
      </w:r>
    </w:p>
    <w:p w14:paraId="42180057" w14:textId="77777777" w:rsidR="00B437B1" w:rsidRDefault="0006494B" w:rsidP="0006494B">
      <w:pPr>
        <w:pStyle w:val="ListParagraph"/>
        <w:numPr>
          <w:ilvl w:val="0"/>
          <w:numId w:val="1"/>
        </w:numPr>
        <w:jc w:val="both"/>
      </w:pPr>
      <w:r>
        <w:t xml:space="preserve"> On 17 January 2011, the relevant Cabinet portfo</w:t>
      </w:r>
      <w:r w:rsidR="002537B0">
        <w:t>lio holder, Councillor Afzal Ak</w:t>
      </w:r>
      <w:r>
        <w:t xml:space="preserve">ram, attended the monitoring meeting, described O-Regen’s immediate plans as based on ‘fictional figures’, and then took part in an explicit exchange about ‘double counting’. After further discussion, it was agreed that LBWF </w:t>
      </w:r>
      <w:r w:rsidR="00177697">
        <w:t xml:space="preserve">would give O-Regen </w:t>
      </w:r>
      <w:r>
        <w:t xml:space="preserve">notice. </w:t>
      </w:r>
    </w:p>
    <w:p w14:paraId="25B0971D" w14:textId="60416214" w:rsidR="0006494B" w:rsidRDefault="0006494B" w:rsidP="0006494B">
      <w:pPr>
        <w:pStyle w:val="ListParagraph"/>
        <w:numPr>
          <w:ilvl w:val="0"/>
          <w:numId w:val="1"/>
        </w:numPr>
        <w:jc w:val="both"/>
      </w:pPr>
      <w:r>
        <w:t xml:space="preserve">However, at the </w:t>
      </w:r>
      <w:r w:rsidR="002537B0">
        <w:t>end of the meeting</w:t>
      </w:r>
      <w:r w:rsidR="004D63EE">
        <w:t>,</w:t>
      </w:r>
      <w:r w:rsidR="002537B0">
        <w:t xml:space="preserve"> Councillor A</w:t>
      </w:r>
      <w:r>
        <w:t xml:space="preserve">kram </w:t>
      </w:r>
      <w:r w:rsidR="00B61BCE">
        <w:t>indicated that</w:t>
      </w:r>
      <w:r w:rsidR="004D63EE">
        <w:t>, in spite of what had been discussed, he intended to</w:t>
      </w:r>
      <w:r w:rsidR="00B61BCE">
        <w:t xml:space="preserve"> aid </w:t>
      </w:r>
      <w:r>
        <w:t>O-Reg</w:t>
      </w:r>
      <w:r w:rsidR="00ED5D34">
        <w:t>en</w:t>
      </w:r>
      <w:r w:rsidR="003B5E50">
        <w:t xml:space="preserve"> obtain</w:t>
      </w:r>
      <w:r w:rsidR="00B61BCE">
        <w:t xml:space="preserve"> further work</w:t>
      </w:r>
      <w:r w:rsidR="00ED5D34">
        <w:t xml:space="preserve"> in the coming finan</w:t>
      </w:r>
      <w:r w:rsidR="007576B7">
        <w:t>cial year</w:t>
      </w:r>
      <w:r w:rsidR="00B61BCE">
        <w:t xml:space="preserve"> (‘From the first week of February Cllr. AA would have an idea of the programme for next year and the funding available. Cllr. AA also said that he would be the facilitator as he would put sub-contractors forward to get in touch with O-regen [sic]’)</w:t>
      </w:r>
      <w:r w:rsidR="007576B7">
        <w:t>.</w:t>
      </w:r>
    </w:p>
    <w:p w14:paraId="794CDEC8" w14:textId="1D845A0C" w:rsidR="00E90E8A" w:rsidRDefault="00E90E8A" w:rsidP="00E90E8A">
      <w:pPr>
        <w:pStyle w:val="ListParagraph"/>
        <w:numPr>
          <w:ilvl w:val="0"/>
          <w:numId w:val="1"/>
        </w:numPr>
        <w:ind w:left="709" w:hanging="349"/>
        <w:jc w:val="both"/>
      </w:pPr>
      <w:r>
        <w:t>Indeed,</w:t>
      </w:r>
      <w:r w:rsidR="004D63EE">
        <w:t xml:space="preserve"> </w:t>
      </w:r>
      <w:r>
        <w:t>it was clear that</w:t>
      </w:r>
      <w:r w:rsidR="004D63EE">
        <w:t>, ‘double counting’ o</w:t>
      </w:r>
      <w:r w:rsidR="0008642F">
        <w:t>r not, important elements within</w:t>
      </w:r>
      <w:r w:rsidR="004D63EE">
        <w:t xml:space="preserve"> LBWF continued to see O-Regen in broadly favourable terms. </w:t>
      </w:r>
      <w:r>
        <w:t>Thus, when Kerry Prestedge of LBWF’s Environment and Regeneration department wrote to Julian Martin, O-Regen CEO,</w:t>
      </w:r>
      <w:r w:rsidR="00E155AF">
        <w:t xml:space="preserve"> on 20 January 2011 to </w:t>
      </w:r>
      <w:r>
        <w:t>confirm that notice had been given, her approach was strikingly emollient:</w:t>
      </w:r>
    </w:p>
    <w:p w14:paraId="150B9DF6" w14:textId="77777777" w:rsidR="00E90E8A" w:rsidRDefault="00E90E8A" w:rsidP="00E90E8A">
      <w:pPr>
        <w:ind w:left="1134"/>
        <w:jc w:val="both"/>
      </w:pPr>
    </w:p>
    <w:p w14:paraId="4787B1F1" w14:textId="6D6E15DC" w:rsidR="00E90E8A" w:rsidRDefault="00E90E8A" w:rsidP="00B32BC6">
      <w:pPr>
        <w:ind w:left="1134" w:right="503"/>
        <w:jc w:val="both"/>
      </w:pPr>
      <w:r>
        <w:t>Following the meeting between you, myself and Councillor Akram on 17 January…I am writing to formally record that:</w:t>
      </w:r>
      <w:r w:rsidR="003C15B8">
        <w:t xml:space="preserve"> </w:t>
      </w:r>
      <w:r>
        <w:t>O-Regen and the Council have agreed that the Council will operate clause H2 of the contract giving notification of a breach of contract which must be remedied.</w:t>
      </w:r>
      <w:r w:rsidR="003C15B8">
        <w:t xml:space="preserve"> </w:t>
      </w:r>
      <w:r>
        <w:t>The breach of contract is non delivery of contracted outputs.</w:t>
      </w:r>
      <w:r w:rsidR="003C15B8">
        <w:t xml:space="preserve"> </w:t>
      </w:r>
      <w:r>
        <w:t>The following result will be accepted as the remedy of</w:t>
      </w:r>
      <w:r w:rsidR="007E1FAA">
        <w:t xml:space="preserve"> [sic]</w:t>
      </w:r>
      <w:r>
        <w:t>:</w:t>
      </w:r>
      <w:r w:rsidR="003C15B8">
        <w:t xml:space="preserve"> </w:t>
      </w:r>
      <w:r>
        <w:t>Re-profile of contracted outputs submitted and delivery in line with profile [.]</w:t>
      </w:r>
      <w:r w:rsidR="00B32BC6">
        <w:t xml:space="preserve"> </w:t>
      </w:r>
      <w:r>
        <w:t>It has been agreed between the parties that the 30 day time limit sha</w:t>
      </w:r>
      <w:r w:rsidR="00B50603">
        <w:t>ll be varied to 90 days.</w:t>
      </w:r>
      <w:r w:rsidR="00B50603">
        <w:rPr>
          <w:rStyle w:val="FootnoteReference"/>
        </w:rPr>
        <w:footnoteReference w:id="1"/>
      </w:r>
      <w:r w:rsidR="00B50603">
        <w:t xml:space="preserve"> </w:t>
      </w:r>
    </w:p>
    <w:p w14:paraId="3BC24B83" w14:textId="77777777" w:rsidR="00E90E8A" w:rsidRDefault="00E90E8A" w:rsidP="00E90E8A">
      <w:pPr>
        <w:jc w:val="both"/>
      </w:pPr>
    </w:p>
    <w:p w14:paraId="58D00608" w14:textId="28E059D2" w:rsidR="00421602" w:rsidRDefault="004D63EE" w:rsidP="004D63EE">
      <w:pPr>
        <w:pStyle w:val="ListParagraph"/>
        <w:numPr>
          <w:ilvl w:val="0"/>
          <w:numId w:val="1"/>
        </w:numPr>
        <w:jc w:val="both"/>
      </w:pPr>
      <w:r>
        <w:t>Subsequently, such</w:t>
      </w:r>
      <w:r w:rsidR="00B437B1">
        <w:t xml:space="preserve"> indulgence continued, with, for example, O-Regen’s</w:t>
      </w:r>
      <w:r w:rsidR="006D5048">
        <w:t xml:space="preserve"> Chief Executive still listed as a member of LSP Employment and Enterprise Group (chaired by </w:t>
      </w:r>
      <w:r w:rsidR="007E1FAA">
        <w:t xml:space="preserve">Councillor Akram) as late as </w:t>
      </w:r>
      <w:r w:rsidR="006D5048">
        <w:t>June 2011.</w:t>
      </w:r>
    </w:p>
    <w:p w14:paraId="7ED06CFB" w14:textId="4C31FB79" w:rsidR="00086F0A" w:rsidRDefault="00086F0A" w:rsidP="00086F0A">
      <w:pPr>
        <w:pStyle w:val="ListParagraph"/>
        <w:numPr>
          <w:ilvl w:val="0"/>
          <w:numId w:val="1"/>
        </w:numPr>
        <w:jc w:val="both"/>
      </w:pPr>
      <w:r>
        <w:t xml:space="preserve">Turning to the monetary side of this contract, it appears that though O-Regen had failed to achieve </w:t>
      </w:r>
      <w:r w:rsidRPr="00035924">
        <w:rPr>
          <w:i/>
        </w:rPr>
        <w:t>any</w:t>
      </w:r>
      <w:r>
        <w:t xml:space="preserve"> of its 14 agreed output targets (Edwards-Tiratsoo, op. cit.), LBWF paid it at least £100,000. </w:t>
      </w:r>
    </w:p>
    <w:p w14:paraId="61E93DF3" w14:textId="77777777" w:rsidR="00B32BC6" w:rsidRDefault="00ED5D34" w:rsidP="00B32BC6">
      <w:pPr>
        <w:pStyle w:val="ListParagraph"/>
        <w:numPr>
          <w:ilvl w:val="0"/>
          <w:numId w:val="1"/>
        </w:numPr>
        <w:jc w:val="both"/>
      </w:pPr>
      <w:r w:rsidRPr="00D90968">
        <w:t>A</w:t>
      </w:r>
      <w:r w:rsidR="00086F0A">
        <w:t>s to what happened to the</w:t>
      </w:r>
      <w:r w:rsidR="00086F0A" w:rsidRPr="00086F0A">
        <w:t xml:space="preserve"> </w:t>
      </w:r>
      <w:r w:rsidR="00086F0A" w:rsidRPr="00D90968">
        <w:t>balance of the contract monies (</w:t>
      </w:r>
      <w:r w:rsidR="00086F0A">
        <w:t>£1,038,383), a</w:t>
      </w:r>
      <w:r w:rsidRPr="00D90968">
        <w:t xml:space="preserve">ccording to the Council’s Deputy Chief Executive, Shifa Mustafa, </w:t>
      </w:r>
      <w:r w:rsidR="00086F0A">
        <w:t>it</w:t>
      </w:r>
      <w:r w:rsidR="0006494B" w:rsidRPr="00D90968">
        <w:t xml:space="preserve"> </w:t>
      </w:r>
      <w:r w:rsidRPr="00D90968">
        <w:t>was ‘returned to the C</w:t>
      </w:r>
      <w:r w:rsidR="00AA0E51">
        <w:t>ouncil’s general fund’ (</w:t>
      </w:r>
      <w:r w:rsidR="001E0C68">
        <w:t>Mustafa-</w:t>
      </w:r>
      <w:r w:rsidRPr="00D90968">
        <w:t>Tiratsoo, 17 May 2012)</w:t>
      </w:r>
      <w:r w:rsidR="0086529B" w:rsidRPr="00D90968">
        <w:t>.</w:t>
      </w:r>
    </w:p>
    <w:p w14:paraId="62DC96B0" w14:textId="77777777" w:rsidR="00B32BC6" w:rsidRDefault="00B32BC6" w:rsidP="00B32BC6">
      <w:pPr>
        <w:pStyle w:val="ListParagraph"/>
        <w:jc w:val="both"/>
      </w:pPr>
    </w:p>
    <w:p w14:paraId="238BFD1F" w14:textId="091801A5" w:rsidR="0086529B" w:rsidRPr="00B32BC6" w:rsidRDefault="00B32BC6" w:rsidP="00B32BC6">
      <w:pPr>
        <w:jc w:val="both"/>
      </w:pPr>
      <w:r>
        <w:rPr>
          <w:b/>
        </w:rPr>
        <w:t xml:space="preserve">        </w:t>
      </w:r>
      <w:r w:rsidR="0086529B" w:rsidRPr="00B32BC6">
        <w:rPr>
          <w:b/>
        </w:rPr>
        <w:t>Kennedy Scott</w:t>
      </w:r>
    </w:p>
    <w:p w14:paraId="33ACD117" w14:textId="77777777" w:rsidR="0086529B" w:rsidRPr="00D53A9C" w:rsidRDefault="0086529B" w:rsidP="0086529B">
      <w:pPr>
        <w:jc w:val="both"/>
      </w:pPr>
    </w:p>
    <w:p w14:paraId="2A39A2D1" w14:textId="3129C0AA" w:rsidR="0086529B" w:rsidRPr="00D53A9C" w:rsidRDefault="0086529B" w:rsidP="0086529B">
      <w:pPr>
        <w:pStyle w:val="ListParagraph"/>
        <w:numPr>
          <w:ilvl w:val="0"/>
          <w:numId w:val="1"/>
        </w:numPr>
        <w:jc w:val="both"/>
      </w:pPr>
      <w:r w:rsidRPr="00D53A9C">
        <w:t>In mid-2010 LBWF awarded two contracts to Kennedy Scott (KS) (</w:t>
      </w:r>
      <w:hyperlink r:id="rId8" w:history="1">
        <w:r w:rsidRPr="00077A54">
          <w:rPr>
            <w:rStyle w:val="Hyperlink"/>
            <w:color w:val="auto"/>
            <w:u w:val="none"/>
          </w:rPr>
          <w:t>www.kennedyscott.co.uk/</w:t>
        </w:r>
      </w:hyperlink>
      <w:r w:rsidRPr="00077A54">
        <w:t>)</w:t>
      </w:r>
      <w:r w:rsidRPr="00D53A9C">
        <w:t xml:space="preserve"> together with subcontractors PLIAS and Lifeline.</w:t>
      </w:r>
      <w:r w:rsidR="00D53A9C">
        <w:t xml:space="preserve"> </w:t>
      </w:r>
      <w:r w:rsidRPr="00D53A9C">
        <w:t>These were for (a) Specialist Job Brokerage and Employment Support, worth £2.02m over three years and nine months; and (b) Job Brokerage and Employment support, worth £1.07m over one year and nine months.</w:t>
      </w:r>
    </w:p>
    <w:p w14:paraId="7C58CD68" w14:textId="313AB961" w:rsidR="0086529B" w:rsidRPr="00D53A9C" w:rsidRDefault="0086529B" w:rsidP="0086529B">
      <w:pPr>
        <w:pStyle w:val="ListParagraph"/>
        <w:numPr>
          <w:ilvl w:val="0"/>
          <w:numId w:val="1"/>
        </w:numPr>
        <w:jc w:val="both"/>
      </w:pPr>
      <w:r w:rsidRPr="00D53A9C">
        <w:t>Neither of these were a success. KS started slowly, because of all kinds of quality and ‘staffing</w:t>
      </w:r>
      <w:r w:rsidR="007E1FAA">
        <w:t>’ issues</w:t>
      </w:r>
      <w:r w:rsidRPr="00D53A9C">
        <w:t xml:space="preserve"> – in August 2010, it registered only 28 clients against a target of 120, and zero job starts against a target of 40. </w:t>
      </w:r>
    </w:p>
    <w:p w14:paraId="0027F955" w14:textId="019C48CD" w:rsidR="0086529B" w:rsidRPr="00D53A9C" w:rsidRDefault="00375B9D" w:rsidP="0086529B">
      <w:pPr>
        <w:pStyle w:val="ListParagraph"/>
        <w:numPr>
          <w:ilvl w:val="0"/>
          <w:numId w:val="1"/>
        </w:numPr>
        <w:jc w:val="both"/>
      </w:pPr>
      <w:r>
        <w:t>E</w:t>
      </w:r>
      <w:r w:rsidR="0086529B" w:rsidRPr="00D53A9C">
        <w:t>ven after the restructuring of the delivery team in 2011, targets were still missed, and by some distance. According to a paper pr</w:t>
      </w:r>
      <w:r w:rsidR="00854D83">
        <w:t>esented to the Cabinet on 16 June 20</w:t>
      </w:r>
      <w:r w:rsidR="0086529B" w:rsidRPr="00D53A9C">
        <w:t>10, each contract contained, amongst other things, a target for job starts, and taken together these required that there should be a total of 61 per month. In June, July,</w:t>
      </w:r>
      <w:r w:rsidR="00236455">
        <w:t xml:space="preserve"> and August 2011, KS produced </w:t>
      </w:r>
      <w:r w:rsidR="0086529B" w:rsidRPr="00D53A9C">
        <w:t>only 27 job starts, that is 15 per cent (27/183) of the target.</w:t>
      </w:r>
    </w:p>
    <w:p w14:paraId="1894D759" w14:textId="2386DE3D" w:rsidR="0086529B" w:rsidRDefault="0086529B" w:rsidP="0086529B">
      <w:pPr>
        <w:pStyle w:val="ListParagraph"/>
        <w:numPr>
          <w:ilvl w:val="0"/>
          <w:numId w:val="1"/>
        </w:numPr>
        <w:jc w:val="both"/>
      </w:pPr>
      <w:r w:rsidRPr="00D53A9C">
        <w:t xml:space="preserve">On 5 October 2011, KS gave notice that it wished to terminate the Job Brokerage and Employment Support contract, winding it down over the </w:t>
      </w:r>
      <w:r w:rsidRPr="00D53A9C">
        <w:rPr>
          <w:i/>
        </w:rPr>
        <w:t xml:space="preserve">six-month </w:t>
      </w:r>
      <w:r w:rsidRPr="00D53A9C">
        <w:t xml:space="preserve">notice period (Executive Decision </w:t>
      </w:r>
      <w:r w:rsidR="0091728D">
        <w:t>by Leader of the Council, 15 December 20</w:t>
      </w:r>
      <w:r w:rsidRPr="00D53A9C">
        <w:t>11).</w:t>
      </w:r>
    </w:p>
    <w:p w14:paraId="21161DEB" w14:textId="5CF84623" w:rsidR="0086529B" w:rsidRDefault="0086529B" w:rsidP="00142D3A">
      <w:pPr>
        <w:pStyle w:val="ListParagraph"/>
        <w:numPr>
          <w:ilvl w:val="0"/>
          <w:numId w:val="1"/>
        </w:numPr>
        <w:jc w:val="both"/>
      </w:pPr>
      <w:r w:rsidRPr="00D53A9C">
        <w:t>It is unclear what happened to the Specialist Job Brokerage and Employment Support contract, but it seems likely that it was terminated at the same time.</w:t>
      </w:r>
    </w:p>
    <w:p w14:paraId="44E10271" w14:textId="284532F9" w:rsidR="00707C59" w:rsidRDefault="0086529B" w:rsidP="00707C59">
      <w:pPr>
        <w:pStyle w:val="ListParagraph"/>
        <w:numPr>
          <w:ilvl w:val="0"/>
          <w:numId w:val="1"/>
        </w:numPr>
        <w:jc w:val="both"/>
      </w:pPr>
      <w:r w:rsidRPr="00D53A9C">
        <w:t xml:space="preserve">At any rate, in all, LBWF ended up paying KS only £167,705, </w:t>
      </w:r>
      <w:r w:rsidR="00142D3A">
        <w:t xml:space="preserve">or a mere </w:t>
      </w:r>
      <w:r w:rsidRPr="00D53A9C">
        <w:t>5 per cent of the total value of the two contracts.</w:t>
      </w:r>
    </w:p>
    <w:p w14:paraId="4BB08E2A" w14:textId="77777777" w:rsidR="00672EF6" w:rsidRDefault="000F01BF" w:rsidP="00672EF6">
      <w:pPr>
        <w:pStyle w:val="ListParagraph"/>
        <w:numPr>
          <w:ilvl w:val="0"/>
          <w:numId w:val="1"/>
        </w:numPr>
        <w:jc w:val="both"/>
      </w:pPr>
      <w:r w:rsidRPr="00D90968">
        <w:t xml:space="preserve">As to what happened to the rest of the money originally earmarked for </w:t>
      </w:r>
      <w:r w:rsidR="00672EF6" w:rsidRPr="00D90968">
        <w:t>these contracts (£3,094,876 minus £167,705, or £2,927,171), LBWF states that</w:t>
      </w:r>
    </w:p>
    <w:p w14:paraId="3C360FBD" w14:textId="77777777" w:rsidR="00B32BC6" w:rsidRPr="00D90968" w:rsidRDefault="00B32BC6" w:rsidP="00B32BC6">
      <w:pPr>
        <w:pStyle w:val="ListParagraph"/>
        <w:jc w:val="both"/>
      </w:pPr>
    </w:p>
    <w:p w14:paraId="4F4AAFA2" w14:textId="77777777" w:rsidR="00672EF6" w:rsidRPr="00D90968" w:rsidRDefault="00672EF6" w:rsidP="00B32BC6">
      <w:pPr>
        <w:pStyle w:val="ListParagraph"/>
        <w:numPr>
          <w:ilvl w:val="0"/>
          <w:numId w:val="5"/>
        </w:numPr>
        <w:ind w:right="503"/>
        <w:jc w:val="both"/>
      </w:pPr>
      <w:r w:rsidRPr="00D90968">
        <w:t>£208,143 went to section 106 reserves;</w:t>
      </w:r>
    </w:p>
    <w:p w14:paraId="7F40B38A" w14:textId="77777777" w:rsidR="00672EF6" w:rsidRPr="00D90968" w:rsidRDefault="00672EF6" w:rsidP="00B32BC6">
      <w:pPr>
        <w:pStyle w:val="ListParagraph"/>
        <w:numPr>
          <w:ilvl w:val="0"/>
          <w:numId w:val="5"/>
        </w:numPr>
        <w:ind w:right="503"/>
        <w:jc w:val="both"/>
      </w:pPr>
      <w:r w:rsidRPr="00D90968">
        <w:t>£299,723 went to the Council’s general fund;</w:t>
      </w:r>
    </w:p>
    <w:p w14:paraId="70349F3B" w14:textId="77777777" w:rsidR="00672EF6" w:rsidRPr="00D90968" w:rsidRDefault="00672EF6" w:rsidP="00B32BC6">
      <w:pPr>
        <w:pStyle w:val="ListParagraph"/>
        <w:numPr>
          <w:ilvl w:val="0"/>
          <w:numId w:val="5"/>
        </w:numPr>
        <w:ind w:right="503"/>
        <w:jc w:val="both"/>
      </w:pPr>
      <w:r w:rsidRPr="00D90968">
        <w:t>£481,773 went to ongoing Worknet projects managed by Reed in Partnership; and</w:t>
      </w:r>
    </w:p>
    <w:p w14:paraId="5A9457C6" w14:textId="62D08327" w:rsidR="00B50603" w:rsidRPr="009F5224" w:rsidRDefault="00672EF6" w:rsidP="00672EF6">
      <w:pPr>
        <w:pStyle w:val="ListParagraph"/>
        <w:numPr>
          <w:ilvl w:val="0"/>
          <w:numId w:val="5"/>
        </w:numPr>
        <w:ind w:right="503"/>
        <w:jc w:val="both"/>
      </w:pPr>
      <w:r w:rsidRPr="00D90968">
        <w:t>£1,937,532 went unclaimed from the funder.</w:t>
      </w:r>
    </w:p>
    <w:p w14:paraId="07F83EF8" w14:textId="77777777" w:rsidR="00B50603" w:rsidRDefault="00B50603" w:rsidP="00672EF6">
      <w:pPr>
        <w:jc w:val="both"/>
        <w:rPr>
          <w:b/>
        </w:rPr>
      </w:pPr>
    </w:p>
    <w:p w14:paraId="4F8E62A9" w14:textId="4453B6B0" w:rsidR="00672EF6" w:rsidRPr="00672EF6" w:rsidRDefault="00672EF6" w:rsidP="00672EF6">
      <w:pPr>
        <w:jc w:val="both"/>
      </w:pPr>
      <w:r w:rsidRPr="00672EF6">
        <w:rPr>
          <w:b/>
        </w:rPr>
        <w:t>Widows and Orphans</w:t>
      </w:r>
      <w:r w:rsidR="0091728D">
        <w:rPr>
          <w:b/>
        </w:rPr>
        <w:t xml:space="preserve"> International</w:t>
      </w:r>
    </w:p>
    <w:p w14:paraId="1C494FF1" w14:textId="77777777" w:rsidR="00672EF6" w:rsidRPr="00672EF6" w:rsidRDefault="00672EF6" w:rsidP="00672EF6">
      <w:pPr>
        <w:jc w:val="both"/>
        <w:rPr>
          <w:b/>
        </w:rPr>
      </w:pPr>
    </w:p>
    <w:p w14:paraId="4BCE1891" w14:textId="624B79AA" w:rsidR="00D052A7" w:rsidRDefault="00D052A7" w:rsidP="00F12EA2">
      <w:pPr>
        <w:pStyle w:val="ListParagraph"/>
        <w:numPr>
          <w:ilvl w:val="0"/>
          <w:numId w:val="1"/>
        </w:numPr>
        <w:jc w:val="both"/>
      </w:pPr>
      <w:r>
        <w:t xml:space="preserve"> LBWF’s account of its relationship with Widdows and Orphans I</w:t>
      </w:r>
      <w:r w:rsidR="008E1787">
        <w:t xml:space="preserve">nternational (WOI) has </w:t>
      </w:r>
      <w:r w:rsidR="00AA6F4E">
        <w:t xml:space="preserve">substantially </w:t>
      </w:r>
      <w:r w:rsidR="008E1787">
        <w:t>changed</w:t>
      </w:r>
      <w:r w:rsidR="00AA6F4E">
        <w:t xml:space="preserve"> </w:t>
      </w:r>
      <w:r w:rsidR="008E1787">
        <w:t xml:space="preserve"> over time</w:t>
      </w:r>
      <w:r>
        <w:t xml:space="preserve">. </w:t>
      </w:r>
    </w:p>
    <w:p w14:paraId="362C83AD" w14:textId="53E29D79" w:rsidR="00F12EA2" w:rsidRDefault="00D052A7" w:rsidP="00F12EA2">
      <w:pPr>
        <w:pStyle w:val="ListParagraph"/>
        <w:numPr>
          <w:ilvl w:val="0"/>
          <w:numId w:val="1"/>
        </w:numPr>
        <w:jc w:val="both"/>
      </w:pPr>
      <w:r>
        <w:t>Initially, LBWF stated under the FIA that in July and November 2010, it had awarded WOI</w:t>
      </w:r>
      <w:r w:rsidRPr="00D052A7">
        <w:t xml:space="preserve"> </w:t>
      </w:r>
      <w:r>
        <w:t>two Worknet contracts</w:t>
      </w:r>
      <w:r w:rsidR="00672EF6">
        <w:t>, worth £2,007,535.</w:t>
      </w:r>
    </w:p>
    <w:p w14:paraId="0DE68671" w14:textId="19C00E4C" w:rsidR="00851E4E" w:rsidRDefault="00630131" w:rsidP="00F12EA2">
      <w:pPr>
        <w:pStyle w:val="ListParagraph"/>
        <w:numPr>
          <w:ilvl w:val="0"/>
          <w:numId w:val="1"/>
        </w:numPr>
        <w:jc w:val="both"/>
      </w:pPr>
      <w:r>
        <w:t>However, m</w:t>
      </w:r>
      <w:r w:rsidR="008E1787">
        <w:t>ore recently, LBWF has</w:t>
      </w:r>
      <w:r>
        <w:t xml:space="preserve"> stated, again under the FIA, that this was an error, and that it only ever had one contract with</w:t>
      </w:r>
      <w:r w:rsidR="00461DF6">
        <w:t xml:space="preserve"> WOI, which was worth £1,086,834</w:t>
      </w:r>
      <w:r w:rsidR="00335D83">
        <w:t>, and ran from November 2010 to sometime in FY 2011-12</w:t>
      </w:r>
      <w:r>
        <w:t>.</w:t>
      </w:r>
      <w:r w:rsidR="008E1787">
        <w:t xml:space="preserve"> </w:t>
      </w:r>
    </w:p>
    <w:p w14:paraId="3AD698A3" w14:textId="77777777" w:rsidR="00630131" w:rsidRDefault="00851E4E" w:rsidP="00AA0E51">
      <w:pPr>
        <w:pStyle w:val="ListParagraph"/>
        <w:numPr>
          <w:ilvl w:val="0"/>
          <w:numId w:val="1"/>
        </w:numPr>
        <w:jc w:val="both"/>
      </w:pPr>
      <w:r>
        <w:t xml:space="preserve"> </w:t>
      </w:r>
      <w:r w:rsidR="00630131">
        <w:t>Similar confusion surrounds what WOI delivered and was paid.</w:t>
      </w:r>
    </w:p>
    <w:p w14:paraId="586A064B" w14:textId="6F89634F" w:rsidR="0090075F" w:rsidRDefault="00630131" w:rsidP="0090075F">
      <w:pPr>
        <w:pStyle w:val="ListParagraph"/>
        <w:numPr>
          <w:ilvl w:val="0"/>
          <w:numId w:val="1"/>
        </w:numPr>
        <w:jc w:val="both"/>
      </w:pPr>
      <w:r>
        <w:t xml:space="preserve">Initially, when questioned about whether WOI had failed to </w:t>
      </w:r>
      <w:r w:rsidR="0090075F">
        <w:t>deliver as per contract, Sally Agass (</w:t>
      </w:r>
      <w:r w:rsidR="00AF6EAB">
        <w:t xml:space="preserve">current </w:t>
      </w:r>
      <w:r w:rsidR="0090075F">
        <w:t>LBWF Interim Divisional Director Business Employment and Skills) admitted there had been a</w:t>
      </w:r>
      <w:r w:rsidR="0008642F">
        <w:t>n underspend, and added</w:t>
      </w:r>
      <w:r w:rsidR="0090075F">
        <w:t>: ‘The Widows and Orphans contract was funded through an output-based GLA grant and the Council’s general fund budget. The underspend therefore resulted in: 1. A lower draw-down of the GLA grant than originally budgeted. 2. The return of the unspent general fund funding to the Council’s general fund’ (Agass-Tiratsoo, 26 October 2012).</w:t>
      </w:r>
    </w:p>
    <w:p w14:paraId="73189199" w14:textId="2D225DCD" w:rsidR="0090075F" w:rsidRDefault="00646556" w:rsidP="0090075F">
      <w:pPr>
        <w:pStyle w:val="ListParagraph"/>
        <w:numPr>
          <w:ilvl w:val="0"/>
          <w:numId w:val="1"/>
        </w:numPr>
        <w:jc w:val="both"/>
      </w:pPr>
      <w:r>
        <w:t>Yet when subsequently</w:t>
      </w:r>
      <w:r w:rsidR="0090075F">
        <w:t xml:space="preserve"> asked </w:t>
      </w:r>
      <w:r>
        <w:t xml:space="preserve">for </w:t>
      </w:r>
      <w:r w:rsidR="0008642F">
        <w:t xml:space="preserve">more </w:t>
      </w:r>
      <w:r>
        <w:t>exact details</w:t>
      </w:r>
      <w:r w:rsidR="0090075F">
        <w:t>, LBWF struggled, and in the end John Turnbull LBWF Director of Finance declared (again under the FIA) that after 18 hours of research (the maximum required under the legislatio</w:t>
      </w:r>
      <w:r w:rsidR="007E1FAA">
        <w:t xml:space="preserve">n), he was unable to provide </w:t>
      </w:r>
      <w:r w:rsidR="0090075F">
        <w:t>answer</w:t>
      </w:r>
      <w:r w:rsidR="007E1FAA">
        <w:t>s</w:t>
      </w:r>
      <w:r w:rsidR="0090075F">
        <w:t xml:space="preserve">, explaining in mitigation that ‘The information requested requires accessing paper archives, electronic files and the Council’s electronic financial records system’ (Turnbull-Tiratsoo, </w:t>
      </w:r>
      <w:r w:rsidR="00690A8B">
        <w:t>2 May 2013).</w:t>
      </w:r>
    </w:p>
    <w:p w14:paraId="46E02955" w14:textId="7D5BDCEA" w:rsidR="0090075F" w:rsidRDefault="00690A8B" w:rsidP="0090075F">
      <w:pPr>
        <w:pStyle w:val="ListParagraph"/>
        <w:numPr>
          <w:ilvl w:val="0"/>
          <w:numId w:val="1"/>
        </w:numPr>
        <w:jc w:val="both"/>
      </w:pPr>
      <w:r>
        <w:t>Not unsurprisingly, when this response was</w:t>
      </w:r>
      <w:r w:rsidR="00812F0B">
        <w:t xml:space="preserve"> made public, it attracted </w:t>
      </w:r>
      <w:r w:rsidR="00646556">
        <w:t>critical</w:t>
      </w:r>
      <w:r w:rsidR="0008642F">
        <w:t xml:space="preserve"> comment</w:t>
      </w:r>
      <w:r>
        <w:t xml:space="preserve">, and so LBWF once again changed its stance, </w:t>
      </w:r>
      <w:r w:rsidR="0008642F">
        <w:t>and provided a fuller account</w:t>
      </w:r>
      <w:r>
        <w:t>.</w:t>
      </w:r>
      <w:r w:rsidR="00FB57B7">
        <w:rPr>
          <w:rStyle w:val="FootnoteReference"/>
        </w:rPr>
        <w:footnoteReference w:id="2"/>
      </w:r>
    </w:p>
    <w:p w14:paraId="7D52F89D" w14:textId="7A37DC50" w:rsidR="0090075F" w:rsidRDefault="00AF6EAB" w:rsidP="0090075F">
      <w:pPr>
        <w:pStyle w:val="ListParagraph"/>
        <w:numPr>
          <w:ilvl w:val="0"/>
          <w:numId w:val="1"/>
        </w:numPr>
        <w:jc w:val="both"/>
      </w:pPr>
      <w:r>
        <w:t xml:space="preserve">According to Ms. </w:t>
      </w:r>
      <w:r w:rsidR="00690A8B">
        <w:t xml:space="preserve">Mustafa, </w:t>
      </w:r>
      <w:r w:rsidR="00461DF6">
        <w:t>LBWF had paid WOI a total of £617,380 – that is only 57 per cent of the original contract value.</w:t>
      </w:r>
    </w:p>
    <w:p w14:paraId="2B27D88C" w14:textId="58D2DAE5" w:rsidR="00461DF6" w:rsidRDefault="0008642F" w:rsidP="0090075F">
      <w:pPr>
        <w:pStyle w:val="ListParagraph"/>
        <w:numPr>
          <w:ilvl w:val="0"/>
          <w:numId w:val="1"/>
        </w:numPr>
        <w:jc w:val="both"/>
      </w:pPr>
      <w:r>
        <w:t>As to</w:t>
      </w:r>
      <w:r w:rsidR="00461DF6">
        <w:t xml:space="preserve"> the balance, </w:t>
      </w:r>
      <w:r w:rsidR="00646556">
        <w:t xml:space="preserve">the full amount, she claimed, </w:t>
      </w:r>
      <w:r w:rsidR="00F11E90">
        <w:t>w</w:t>
      </w:r>
      <w:r w:rsidR="00AA6F4E">
        <w:t xml:space="preserve">as passed back to the Council, </w:t>
      </w:r>
      <w:r w:rsidR="00F11E90">
        <w:t>contributing towards its ‘net outturn and the movement in the Council’s balances, which in turn fed into the Medium-Term Financial Strategy’.</w:t>
      </w:r>
    </w:p>
    <w:p w14:paraId="553F006D" w14:textId="5DE91CDA" w:rsidR="00F11E90" w:rsidRDefault="00F11E90" w:rsidP="0090075F">
      <w:pPr>
        <w:pStyle w:val="ListParagraph"/>
        <w:numPr>
          <w:ilvl w:val="0"/>
          <w:numId w:val="1"/>
        </w:numPr>
        <w:jc w:val="both"/>
      </w:pPr>
      <w:r>
        <w:t xml:space="preserve">However, this new explanation </w:t>
      </w:r>
      <w:r w:rsidR="00812F0B">
        <w:t xml:space="preserve">only </w:t>
      </w:r>
      <w:r>
        <w:t>begged further questions.</w:t>
      </w:r>
    </w:p>
    <w:p w14:paraId="6D002E76" w14:textId="6771B093" w:rsidR="00F11E90" w:rsidRDefault="00F11E90" w:rsidP="0090075F">
      <w:pPr>
        <w:pStyle w:val="ListParagraph"/>
        <w:numPr>
          <w:ilvl w:val="0"/>
          <w:numId w:val="1"/>
        </w:numPr>
        <w:jc w:val="both"/>
      </w:pPr>
      <w:r>
        <w:t>It is notable that Ms. Mustafa</w:t>
      </w:r>
      <w:r w:rsidR="00AF6EAB">
        <w:t xml:space="preserve"> did not explain how much was on offer from the ‘output-based GLA grant’, which of course makes a def</w:t>
      </w:r>
      <w:r w:rsidR="00646556">
        <w:t xml:space="preserve">initive assessment </w:t>
      </w:r>
      <w:r w:rsidR="00AF6EAB">
        <w:t>of WOI’s failure impossible to clarify.</w:t>
      </w:r>
    </w:p>
    <w:p w14:paraId="7558832A" w14:textId="16931A47" w:rsidR="00AF6EAB" w:rsidRDefault="00AF6EAB" w:rsidP="00AF6EAB">
      <w:pPr>
        <w:pStyle w:val="ListParagraph"/>
        <w:numPr>
          <w:ilvl w:val="0"/>
          <w:numId w:val="1"/>
        </w:numPr>
        <w:jc w:val="both"/>
      </w:pPr>
      <w:r>
        <w:t>More importantly, Ms. Musta</w:t>
      </w:r>
      <w:r w:rsidR="00646556">
        <w:t>fa’s assertion</w:t>
      </w:r>
      <w:r w:rsidR="00AA6F4E">
        <w:t xml:space="preserve"> that </w:t>
      </w:r>
      <w:r>
        <w:t>WOI</w:t>
      </w:r>
      <w:r w:rsidR="00AA6F4E">
        <w:t xml:space="preserve"> was paid £617,380</w:t>
      </w:r>
      <w:r>
        <w:t xml:space="preserve"> is difficult to reconci</w:t>
      </w:r>
      <w:r w:rsidR="00427C68">
        <w:t xml:space="preserve">le with the </w:t>
      </w:r>
      <w:r w:rsidR="00646556">
        <w:t xml:space="preserve">listing </w:t>
      </w:r>
      <w:r w:rsidR="00427C68">
        <w:t xml:space="preserve">that LBWF posts </w:t>
      </w:r>
      <w:r w:rsidR="00646556">
        <w:t>of</w:t>
      </w:r>
      <w:r w:rsidR="00672EF6">
        <w:t xml:space="preserve"> </w:t>
      </w:r>
      <w:r w:rsidR="0008642F">
        <w:t xml:space="preserve">monthly </w:t>
      </w:r>
      <w:r w:rsidR="00672EF6">
        <w:t xml:space="preserve">payments </w:t>
      </w:r>
      <w:r w:rsidR="00AA0E51">
        <w:t xml:space="preserve">to contractors worth </w:t>
      </w:r>
      <w:r w:rsidR="001400BA">
        <w:t>more than £500 (modified from September 2012 to more than £250)</w:t>
      </w:r>
      <w:r>
        <w:t>.</w:t>
      </w:r>
    </w:p>
    <w:p w14:paraId="04C68E12" w14:textId="059D4E21" w:rsidR="00AF6EAB" w:rsidRDefault="00335D83" w:rsidP="00AF6EAB">
      <w:pPr>
        <w:pStyle w:val="ListParagraph"/>
        <w:numPr>
          <w:ilvl w:val="0"/>
          <w:numId w:val="1"/>
        </w:numPr>
        <w:jc w:val="both"/>
      </w:pPr>
      <w:r>
        <w:t>For this shows that between November 2010</w:t>
      </w:r>
      <w:r w:rsidR="00AF6EAB">
        <w:t xml:space="preserve"> and </w:t>
      </w:r>
      <w:r>
        <w:t>March 2012, LBWF’s</w:t>
      </w:r>
      <w:r w:rsidR="00AF6EAB">
        <w:t xml:space="preserve"> environment and regeneration department </w:t>
      </w:r>
      <w:r w:rsidR="00E44B38">
        <w:t>paid WOI a mere</w:t>
      </w:r>
      <w:r w:rsidR="00812F0B">
        <w:t xml:space="preserve"> £39</w:t>
      </w:r>
      <w:r>
        <w:t>9,864.75.</w:t>
      </w:r>
    </w:p>
    <w:p w14:paraId="02B8894B" w14:textId="3C18BD42" w:rsidR="00AF6EAB" w:rsidRDefault="00335D83" w:rsidP="00AF6EAB">
      <w:pPr>
        <w:pStyle w:val="ListParagraph"/>
        <w:numPr>
          <w:ilvl w:val="0"/>
          <w:numId w:val="1"/>
        </w:numPr>
        <w:jc w:val="both"/>
      </w:pPr>
      <w:r>
        <w:t>Indeed, the only way to come close to</w:t>
      </w:r>
      <w:r w:rsidR="00AA6F4E">
        <w:t xml:space="preserve"> reconciling</w:t>
      </w:r>
      <w:r>
        <w:t xml:space="preserve"> Ms. Mustafa’s figure</w:t>
      </w:r>
      <w:r w:rsidR="001400BA">
        <w:t>s</w:t>
      </w:r>
      <w:r>
        <w:t xml:space="preserve"> using this source is to </w:t>
      </w:r>
      <w:r w:rsidR="00812F0B">
        <w:t xml:space="preserve">add in </w:t>
      </w:r>
      <w:r>
        <w:t>another very different set o</w:t>
      </w:r>
      <w:r w:rsidR="001400BA">
        <w:t>f payments</w:t>
      </w:r>
      <w:r w:rsidR="00812F0B">
        <w:t xml:space="preserve">, </w:t>
      </w:r>
      <w:r w:rsidR="001400BA">
        <w:t>the £211,011.50 that the LBWF</w:t>
      </w:r>
      <w:r>
        <w:t xml:space="preserve"> </w:t>
      </w:r>
      <w:r w:rsidR="00812F0B">
        <w:t>‘</w:t>
      </w:r>
      <w:r>
        <w:t>childrens service</w:t>
      </w:r>
      <w:r w:rsidR="00812F0B">
        <w:t>’</w:t>
      </w:r>
      <w:r w:rsidR="00AA6F4E">
        <w:t xml:space="preserve"> paid</w:t>
      </w:r>
      <w:r>
        <w:t xml:space="preserve"> </w:t>
      </w:r>
      <w:r w:rsidR="00812F0B">
        <w:t xml:space="preserve">to </w:t>
      </w:r>
      <w:r w:rsidR="00E44B38">
        <w:t xml:space="preserve">WOI </w:t>
      </w:r>
      <w:r w:rsidR="00812F0B">
        <w:t xml:space="preserve">in February, April, June and August 2012 – a possible solution, but one that </w:t>
      </w:r>
      <w:r w:rsidR="00687383">
        <w:t xml:space="preserve">of course </w:t>
      </w:r>
      <w:r w:rsidR="0008642F">
        <w:t>raises</w:t>
      </w:r>
      <w:r w:rsidR="00687383">
        <w:t xml:space="preserve"> </w:t>
      </w:r>
      <w:r w:rsidR="00AA6F4E">
        <w:t xml:space="preserve">further </w:t>
      </w:r>
      <w:r w:rsidR="00687383">
        <w:t>issues not only about timing, but also about exactly why Worknet monies were</w:t>
      </w:r>
      <w:r w:rsidR="00A839FC">
        <w:t xml:space="preserve"> be</w:t>
      </w:r>
      <w:r w:rsidR="00E44B38">
        <w:t>ing routed through such an unexpected channel</w:t>
      </w:r>
      <w:r w:rsidR="00812F0B">
        <w:t xml:space="preserve">. </w:t>
      </w:r>
    </w:p>
    <w:p w14:paraId="00256412" w14:textId="77777777" w:rsidR="00A839FC" w:rsidRDefault="00A839FC" w:rsidP="00F12EA2">
      <w:pPr>
        <w:ind w:left="284"/>
        <w:jc w:val="both"/>
        <w:rPr>
          <w:b/>
        </w:rPr>
      </w:pPr>
    </w:p>
    <w:p w14:paraId="582F0F93" w14:textId="1C215E0D" w:rsidR="00802BE0" w:rsidRPr="00802BE0" w:rsidRDefault="00802BE0" w:rsidP="00F12EA2">
      <w:pPr>
        <w:ind w:left="284"/>
        <w:jc w:val="both"/>
        <w:rPr>
          <w:b/>
        </w:rPr>
      </w:pPr>
      <w:r>
        <w:rPr>
          <w:b/>
        </w:rPr>
        <w:t>Ree</w:t>
      </w:r>
      <w:r w:rsidRPr="00802BE0">
        <w:rPr>
          <w:b/>
        </w:rPr>
        <w:t>d</w:t>
      </w:r>
      <w:r>
        <w:rPr>
          <w:b/>
        </w:rPr>
        <w:t xml:space="preserve"> in Partnership</w:t>
      </w:r>
    </w:p>
    <w:p w14:paraId="20756C38" w14:textId="77777777" w:rsidR="00802BE0" w:rsidRDefault="00802BE0" w:rsidP="00802BE0">
      <w:pPr>
        <w:jc w:val="both"/>
      </w:pPr>
    </w:p>
    <w:p w14:paraId="1F56DF15" w14:textId="78DA89AB" w:rsidR="00802BE0" w:rsidRDefault="00802BE0" w:rsidP="00142D3A">
      <w:pPr>
        <w:pStyle w:val="ListParagraph"/>
        <w:numPr>
          <w:ilvl w:val="0"/>
          <w:numId w:val="1"/>
        </w:numPr>
        <w:jc w:val="both"/>
      </w:pPr>
      <w:r>
        <w:t xml:space="preserve">On 12 December 2011, LBWF </w:t>
      </w:r>
      <w:r w:rsidR="00AA6F4E">
        <w:t>used a waiver to award</w:t>
      </w:r>
      <w:r>
        <w:t xml:space="preserve"> two contracts to Reed in Partnership</w:t>
      </w:r>
      <w:r w:rsidR="00593E28">
        <w:t xml:space="preserve"> Ltd.</w:t>
      </w:r>
      <w:r w:rsidR="000E5BE5">
        <w:t xml:space="preserve"> worth £613,395</w:t>
      </w:r>
      <w:r>
        <w:t>, one for ‘Job brokerage and employment support’, and one for ‘Specialist job brokerage and employment support’.</w:t>
      </w:r>
    </w:p>
    <w:p w14:paraId="176B18A1" w14:textId="6F7CF27B" w:rsidR="001B7E6A" w:rsidRDefault="008B6598" w:rsidP="008B6598">
      <w:pPr>
        <w:pStyle w:val="ListParagraph"/>
        <w:numPr>
          <w:ilvl w:val="0"/>
          <w:numId w:val="1"/>
        </w:numPr>
        <w:jc w:val="both"/>
      </w:pPr>
      <w:r>
        <w:t xml:space="preserve">As regards the former, which </w:t>
      </w:r>
      <w:r w:rsidR="00B16778">
        <w:t xml:space="preserve">was worth £102,350 and </w:t>
      </w:r>
      <w:r>
        <w:t>ran from December 2011 to March 2012</w:t>
      </w:r>
      <w:r w:rsidR="001B7E6A">
        <w:t>, Reed in Partnership promised to register 150 people, but only achieved 36 (i.e.</w:t>
      </w:r>
      <w:r w:rsidR="00854D83">
        <w:t xml:space="preserve"> </w:t>
      </w:r>
      <w:r>
        <w:t>24 per cent)</w:t>
      </w:r>
      <w:r w:rsidR="00E57E64">
        <w:t>,</w:t>
      </w:r>
      <w:r>
        <w:t xml:space="preserve"> while</w:t>
      </w:r>
      <w:r w:rsidR="00666DD0">
        <w:t xml:space="preserve"> with its</w:t>
      </w:r>
      <w:r w:rsidR="00714D85">
        <w:t xml:space="preserve"> four</w:t>
      </w:r>
      <w:r w:rsidR="001709F4">
        <w:t xml:space="preserve"> other targets, which related to job starts and job outcomes, </w:t>
      </w:r>
      <w:r>
        <w:t xml:space="preserve">it </w:t>
      </w:r>
      <w:r w:rsidR="001B7E6A">
        <w:t xml:space="preserve">failed to achieve </w:t>
      </w:r>
      <w:r w:rsidR="001B7E6A" w:rsidRPr="008B6598">
        <w:rPr>
          <w:i/>
        </w:rPr>
        <w:t>any results whatsoever</w:t>
      </w:r>
      <w:r w:rsidR="001B7E6A">
        <w:t xml:space="preserve"> </w:t>
      </w:r>
      <w:r>
        <w:t>(Agass-Tiratsoo, 6 August 2012)</w:t>
      </w:r>
      <w:r w:rsidR="001B7E6A">
        <w:t>.</w:t>
      </w:r>
    </w:p>
    <w:p w14:paraId="0328A800" w14:textId="1C0934B3" w:rsidR="001B7E6A" w:rsidRDefault="00273D7D" w:rsidP="00142D3A">
      <w:pPr>
        <w:pStyle w:val="ListParagraph"/>
        <w:numPr>
          <w:ilvl w:val="0"/>
          <w:numId w:val="1"/>
        </w:numPr>
        <w:jc w:val="both"/>
      </w:pPr>
      <w:r>
        <w:t>As to how Reed in Partnership</w:t>
      </w:r>
      <w:r w:rsidR="008505BB">
        <w:t xml:space="preserve"> has performed</w:t>
      </w:r>
      <w:r w:rsidR="00714D85">
        <w:t xml:space="preserve"> with</w:t>
      </w:r>
      <w:r w:rsidR="001B7E6A">
        <w:t xml:space="preserve"> its second contract, </w:t>
      </w:r>
      <w:r>
        <w:t xml:space="preserve">LBWF initially refused to divulge such information </w:t>
      </w:r>
      <w:r w:rsidR="001B7E6A">
        <w:t>on th</w:t>
      </w:r>
      <w:r>
        <w:t>e basis that it was</w:t>
      </w:r>
      <w:r w:rsidR="001B7E6A">
        <w:t xml:space="preserve"> ‘commercially sensitive’</w:t>
      </w:r>
      <w:r w:rsidR="00593E28">
        <w:t xml:space="preserve"> (see Agass-</w:t>
      </w:r>
      <w:r w:rsidR="00854D83">
        <w:t>Tiratsoo, 6 August 2012)</w:t>
      </w:r>
      <w:r w:rsidR="00236455">
        <w:t>.</w:t>
      </w:r>
    </w:p>
    <w:p w14:paraId="2D7F15D2" w14:textId="0BFCAE5C" w:rsidR="00273D7D" w:rsidRDefault="00273D7D" w:rsidP="00142D3A">
      <w:pPr>
        <w:pStyle w:val="ListParagraph"/>
        <w:numPr>
          <w:ilvl w:val="0"/>
          <w:numId w:val="1"/>
        </w:numPr>
        <w:jc w:val="both"/>
      </w:pPr>
      <w:r>
        <w:t xml:space="preserve">However, after a Council scrutiny committee started investigating Worknet in </w:t>
      </w:r>
      <w:r w:rsidR="008505BB">
        <w:t xml:space="preserve">late </w:t>
      </w:r>
      <w:r>
        <w:t>2012, Ms. Agass supplied it with some of the data, and</w:t>
      </w:r>
      <w:r w:rsidR="00714D85">
        <w:t>, after I had appealed to</w:t>
      </w:r>
      <w:r>
        <w:t xml:space="preserve"> </w:t>
      </w:r>
      <w:r w:rsidR="00714D85">
        <w:t>the Information Commissioner</w:t>
      </w:r>
      <w:r w:rsidR="00652759">
        <w:t>’s Office</w:t>
      </w:r>
      <w:r w:rsidR="00714D85">
        <w:t xml:space="preserve">, </w:t>
      </w:r>
      <w:r>
        <w:t>subsequently sent me the rest – see Appendix One, below.</w:t>
      </w:r>
    </w:p>
    <w:p w14:paraId="15990C89" w14:textId="7A5885FE" w:rsidR="00273D7D" w:rsidRDefault="00273D7D" w:rsidP="00142D3A">
      <w:pPr>
        <w:pStyle w:val="ListParagraph"/>
        <w:numPr>
          <w:ilvl w:val="0"/>
          <w:numId w:val="1"/>
        </w:numPr>
        <w:jc w:val="both"/>
      </w:pPr>
      <w:r>
        <w:t>From this, it appears that Reed in Partnership started slowly, and then gradually picked up in 2012, though without fully meeting its targets.</w:t>
      </w:r>
    </w:p>
    <w:p w14:paraId="54F3B9EB" w14:textId="34982442" w:rsidR="001B7E6A" w:rsidRDefault="001B7E6A" w:rsidP="001B7E6A">
      <w:pPr>
        <w:jc w:val="both"/>
      </w:pPr>
    </w:p>
    <w:p w14:paraId="5B91FB10" w14:textId="0A5975D9" w:rsidR="001B7E6A" w:rsidRPr="001B7E6A" w:rsidRDefault="001B7E6A" w:rsidP="001B7E6A">
      <w:pPr>
        <w:jc w:val="both"/>
        <w:rPr>
          <w:b/>
        </w:rPr>
      </w:pPr>
      <w:r w:rsidRPr="001B7E6A">
        <w:rPr>
          <w:b/>
        </w:rPr>
        <w:t xml:space="preserve">      The Worknet programme in context</w:t>
      </w:r>
    </w:p>
    <w:p w14:paraId="539B2D60" w14:textId="77777777" w:rsidR="001B7E6A" w:rsidRDefault="001B7E6A" w:rsidP="001B7E6A">
      <w:pPr>
        <w:jc w:val="both"/>
      </w:pPr>
    </w:p>
    <w:p w14:paraId="036D26E5" w14:textId="5B14E83A" w:rsidR="00D946C6" w:rsidRDefault="00E44B38" w:rsidP="00142D3A">
      <w:pPr>
        <w:pStyle w:val="ListParagraph"/>
        <w:numPr>
          <w:ilvl w:val="0"/>
          <w:numId w:val="1"/>
        </w:numPr>
        <w:jc w:val="both"/>
      </w:pPr>
      <w:r>
        <w:t>O</w:t>
      </w:r>
      <w:r w:rsidR="00D946C6">
        <w:t>n the basis of the evidence that has emerged so far</w:t>
      </w:r>
      <w:r>
        <w:t>, it appears that Worknet has</w:t>
      </w:r>
      <w:r w:rsidR="001400BA">
        <w:t xml:space="preserve"> failed in its basic purpose.</w:t>
      </w:r>
    </w:p>
    <w:p w14:paraId="70C65BB7" w14:textId="501848D2" w:rsidR="00B00CD8" w:rsidRDefault="00E44B38" w:rsidP="00142D3A">
      <w:pPr>
        <w:pStyle w:val="ListParagraph"/>
        <w:numPr>
          <w:ilvl w:val="0"/>
          <w:numId w:val="1"/>
        </w:numPr>
        <w:jc w:val="both"/>
      </w:pPr>
      <w:r>
        <w:t>For while the programme</w:t>
      </w:r>
      <w:r w:rsidR="00D946C6">
        <w:t xml:space="preserve"> has </w:t>
      </w:r>
      <w:r w:rsidR="00454097">
        <w:t xml:space="preserve">no doubt </w:t>
      </w:r>
      <w:r w:rsidR="00C90F15">
        <w:t>made contact with</w:t>
      </w:r>
      <w:r w:rsidR="00D946C6">
        <w:t xml:space="preserve"> </w:t>
      </w:r>
      <w:r w:rsidR="009B24BA">
        <w:t xml:space="preserve">significant numbers of </w:t>
      </w:r>
      <w:r w:rsidR="00D946C6">
        <w:t>local people</w:t>
      </w:r>
      <w:r w:rsidR="00C90F15">
        <w:t>, interviewed the</w:t>
      </w:r>
      <w:r w:rsidR="003554BB">
        <w:t xml:space="preserve">m, and provided a portion with basic </w:t>
      </w:r>
      <w:r w:rsidR="00C90F15">
        <w:t xml:space="preserve">advice, </w:t>
      </w:r>
      <w:r w:rsidR="00470862">
        <w:t>its record in terms of</w:t>
      </w:r>
      <w:r w:rsidR="00454097">
        <w:t xml:space="preserve"> meaningful job support, relevant training, and real employment o</w:t>
      </w:r>
      <w:r w:rsidR="00C90F15">
        <w:t>pportunities i</w:t>
      </w:r>
      <w:r w:rsidR="005B7766">
        <w:t>s far less impressive</w:t>
      </w:r>
      <w:r w:rsidR="00B00CD8">
        <w:t>.</w:t>
      </w:r>
    </w:p>
    <w:p w14:paraId="191CE7E3" w14:textId="7046A4DC" w:rsidR="003B64A8" w:rsidRDefault="00B00CD8" w:rsidP="00142D3A">
      <w:pPr>
        <w:pStyle w:val="ListParagraph"/>
        <w:numPr>
          <w:ilvl w:val="0"/>
          <w:numId w:val="1"/>
        </w:numPr>
        <w:jc w:val="both"/>
      </w:pPr>
      <w:r>
        <w:t xml:space="preserve">Measuring the </w:t>
      </w:r>
      <w:r w:rsidR="004E6686">
        <w:t xml:space="preserve">exact </w:t>
      </w:r>
      <w:r>
        <w:t xml:space="preserve">scale of this failure is far from easy. To produce clean output data, LBWF paid Meganexus </w:t>
      </w:r>
      <w:r w:rsidR="00F41CEB">
        <w:t xml:space="preserve">no less than </w:t>
      </w:r>
      <w:r>
        <w:t>£229</w:t>
      </w:r>
      <w:r w:rsidR="00F41CEB">
        <w:t>,</w:t>
      </w:r>
      <w:r>
        <w:t>200 for its software programme Neo 3, but then neglected to ensure</w:t>
      </w:r>
      <w:r w:rsidR="004E6686">
        <w:t xml:space="preserve"> that it was always</w:t>
      </w:r>
      <w:r>
        <w:t xml:space="preserve"> used. </w:t>
      </w:r>
      <w:r w:rsidR="003B64A8">
        <w:t>‘Client progress’ was therefore typically recorded on a variety of paper forms, but the care with which these were completed varied considerably.  For example, an audit at the end of October 2010 rejected ‘a high number of files’ because they were found to be ‘below the required standard, as specified by the LDA’ (Report to the Business and Employment Board, 25 November 2010, p.3).</w:t>
      </w:r>
    </w:p>
    <w:p w14:paraId="6CEB922C" w14:textId="2215E6F8" w:rsidR="003B64A8" w:rsidRDefault="003233DE" w:rsidP="00142D3A">
      <w:pPr>
        <w:pStyle w:val="ListParagraph"/>
        <w:numPr>
          <w:ilvl w:val="0"/>
          <w:numId w:val="1"/>
        </w:numPr>
        <w:jc w:val="both"/>
      </w:pPr>
      <w:r>
        <w:t xml:space="preserve">Individual officers knew </w:t>
      </w:r>
      <w:r w:rsidR="003B64A8">
        <w:t xml:space="preserve">that </w:t>
      </w:r>
      <w:r>
        <w:t>they were under pressure to produce – until recently Worknet was a high profile programme</w:t>
      </w:r>
      <w:r w:rsidR="00C63F10">
        <w:t>, regularly feted by senior Labour Councillors</w:t>
      </w:r>
      <w:r>
        <w:t xml:space="preserve"> – and sometimes made overly optimistic </w:t>
      </w:r>
      <w:r w:rsidR="003B64A8">
        <w:t xml:space="preserve">or unchecked </w:t>
      </w:r>
      <w:r>
        <w:t xml:space="preserve">claims about what they were achieving. </w:t>
      </w:r>
    </w:p>
    <w:p w14:paraId="0E13916B" w14:textId="0AA49045" w:rsidR="00250A3E" w:rsidRDefault="0078153A" w:rsidP="00142D3A">
      <w:pPr>
        <w:pStyle w:val="ListParagraph"/>
        <w:numPr>
          <w:ilvl w:val="0"/>
          <w:numId w:val="1"/>
        </w:numPr>
        <w:jc w:val="both"/>
      </w:pPr>
      <w:r>
        <w:t xml:space="preserve">Besides, </w:t>
      </w:r>
      <w:r w:rsidR="00593E28">
        <w:t xml:space="preserve">LBWF </w:t>
      </w:r>
      <w:r w:rsidR="006E22A1">
        <w:t xml:space="preserve">monitoring of outputs </w:t>
      </w:r>
      <w:r>
        <w:t xml:space="preserve">was patchy, with </w:t>
      </w:r>
      <w:r w:rsidR="00250A3E">
        <w:t>the of</w:t>
      </w:r>
      <w:r>
        <w:t xml:space="preserve">ficers involved sometimes seeming bemused or </w:t>
      </w:r>
      <w:r w:rsidR="006E22A1">
        <w:t>puzzlingly incurious; apparently</w:t>
      </w:r>
      <w:r>
        <w:t xml:space="preserve"> </w:t>
      </w:r>
      <w:r w:rsidR="00250A3E">
        <w:t>unsupported if and when they came to critical conclusions</w:t>
      </w:r>
      <w:r w:rsidR="006E22A1">
        <w:t xml:space="preserve">; and overly respectful of senior Councillor’s judgments. </w:t>
      </w:r>
    </w:p>
    <w:p w14:paraId="74039DBD" w14:textId="32FF7A7A" w:rsidR="00593E28" w:rsidRDefault="006C27A3" w:rsidP="00142D3A">
      <w:pPr>
        <w:pStyle w:val="ListParagraph"/>
        <w:numPr>
          <w:ilvl w:val="0"/>
          <w:numId w:val="1"/>
        </w:numPr>
        <w:jc w:val="both"/>
      </w:pPr>
      <w:r>
        <w:t>To make matters worse, few of the funders appear to have taken much interest in monitoring at al</w:t>
      </w:r>
      <w:r w:rsidR="00FC419E">
        <w:t>l, though their exact role is very difficult to establish, particularl</w:t>
      </w:r>
      <w:r w:rsidR="001400BA">
        <w:t>y because of the demise</w:t>
      </w:r>
      <w:r w:rsidR="00FC419E">
        <w:t xml:space="preserve"> of the LDA.</w:t>
      </w:r>
    </w:p>
    <w:p w14:paraId="618081DA" w14:textId="1F4084B3" w:rsidR="00FC419E" w:rsidRDefault="00F41CEB" w:rsidP="00142D3A">
      <w:pPr>
        <w:pStyle w:val="ListParagraph"/>
        <w:numPr>
          <w:ilvl w:val="0"/>
          <w:numId w:val="1"/>
        </w:numPr>
        <w:jc w:val="both"/>
      </w:pPr>
      <w:r>
        <w:t xml:space="preserve">For their part, contractors clearly </w:t>
      </w:r>
      <w:r w:rsidR="00E44B38">
        <w:t xml:space="preserve">struggled with what they were being asked to do, and occasionally lapsed more seriously, </w:t>
      </w:r>
      <w:r w:rsidR="003233DE">
        <w:t>with O-Regen’s</w:t>
      </w:r>
      <w:r>
        <w:t xml:space="preserve"> ‘double counting’ </w:t>
      </w:r>
      <w:r w:rsidR="003233DE">
        <w:t xml:space="preserve">of staff and clients </w:t>
      </w:r>
      <w:r>
        <w:t xml:space="preserve">a particularly </w:t>
      </w:r>
      <w:r w:rsidR="003233DE">
        <w:t xml:space="preserve">flagrant example. </w:t>
      </w:r>
    </w:p>
    <w:p w14:paraId="2A35778B" w14:textId="6957FADA" w:rsidR="00F41CEB" w:rsidRDefault="003233DE" w:rsidP="00142D3A">
      <w:pPr>
        <w:pStyle w:val="ListParagraph"/>
        <w:numPr>
          <w:ilvl w:val="0"/>
          <w:numId w:val="1"/>
        </w:numPr>
        <w:jc w:val="both"/>
      </w:pPr>
      <w:r>
        <w:t xml:space="preserve">Against this background, it is clear that all </w:t>
      </w:r>
      <w:r w:rsidR="004E6686">
        <w:t xml:space="preserve">Worknet output data </w:t>
      </w:r>
      <w:r>
        <w:t xml:space="preserve">must be treated with a </w:t>
      </w:r>
      <w:r w:rsidR="00FC419E">
        <w:t xml:space="preserve">high </w:t>
      </w:r>
      <w:r>
        <w:t>degree of skepticism.</w:t>
      </w:r>
    </w:p>
    <w:p w14:paraId="0D79CB2D" w14:textId="7F6BD96C" w:rsidR="00D946C6" w:rsidRDefault="003233DE" w:rsidP="00142D3A">
      <w:pPr>
        <w:pStyle w:val="ListParagraph"/>
        <w:numPr>
          <w:ilvl w:val="0"/>
          <w:numId w:val="1"/>
        </w:numPr>
        <w:jc w:val="both"/>
      </w:pPr>
      <w:r>
        <w:t xml:space="preserve"> However, scattered evidence is certainly indicative. Some</w:t>
      </w:r>
      <w:r w:rsidR="00C63F10">
        <w:t xml:space="preserve"> of the meager outputs </w:t>
      </w:r>
      <w:r w:rsidR="0008642F">
        <w:t>achieved by individual contractors</w:t>
      </w:r>
      <w:r w:rsidR="00C63F10">
        <w:t xml:space="preserve"> have already been touched upon, but there are a few more comprehensive series, too. For example, </w:t>
      </w:r>
      <w:r w:rsidR="005B7766">
        <w:t>C</w:t>
      </w:r>
      <w:r w:rsidR="00C90F15">
        <w:t xml:space="preserve">ouncil figures for 2009-10 show that though the </w:t>
      </w:r>
      <w:r w:rsidR="005B57C5">
        <w:t xml:space="preserve">agreed </w:t>
      </w:r>
      <w:r w:rsidR="00C90F15">
        <w:t>targets for ‘jobs sustained at 13 weeks’, ‘jobs sustained at 26 weeks</w:t>
      </w:r>
      <w:r w:rsidR="00D5587C">
        <w:t>’</w:t>
      </w:r>
      <w:r w:rsidR="00C90F15">
        <w:t xml:space="preserve">, and ‘jobs sustained at 52 weeks’ were, respectively, 755, 379, and 473, the achieved numbers were only 255, 194, and 35, in other words a mere third of what they should have been (see </w:t>
      </w:r>
      <w:r w:rsidR="002F7E29" w:rsidRPr="005B57C5">
        <w:rPr>
          <w:i/>
        </w:rPr>
        <w:t>Work</w:t>
      </w:r>
      <w:r w:rsidR="005B57C5" w:rsidRPr="005B57C5">
        <w:rPr>
          <w:i/>
        </w:rPr>
        <w:t>net P</w:t>
      </w:r>
      <w:r w:rsidR="002F7E29" w:rsidRPr="005B57C5">
        <w:rPr>
          <w:i/>
        </w:rPr>
        <w:t>artnership Evaluation. Final</w:t>
      </w:r>
      <w:r w:rsidR="005B57C5">
        <w:rPr>
          <w:i/>
        </w:rPr>
        <w:t xml:space="preserve"> R</w:t>
      </w:r>
      <w:r w:rsidR="005B57C5" w:rsidRPr="005B57C5">
        <w:rPr>
          <w:i/>
        </w:rPr>
        <w:t>eport</w:t>
      </w:r>
      <w:r w:rsidR="004A1B65">
        <w:t xml:space="preserve">  op.cit, </w:t>
      </w:r>
      <w:r w:rsidR="00B40F1D">
        <w:t xml:space="preserve"> p.21</w:t>
      </w:r>
      <w:r w:rsidR="005B57C5">
        <w:t>).</w:t>
      </w:r>
    </w:p>
    <w:p w14:paraId="322E2954" w14:textId="3F01DB26" w:rsidR="00FF240D" w:rsidRDefault="00FF240D" w:rsidP="00142D3A">
      <w:pPr>
        <w:pStyle w:val="ListParagraph"/>
        <w:numPr>
          <w:ilvl w:val="0"/>
          <w:numId w:val="1"/>
        </w:numPr>
        <w:jc w:val="both"/>
      </w:pPr>
      <w:r>
        <w:t>In addition, looking beyond the</w:t>
      </w:r>
      <w:r w:rsidR="00E44B38">
        <w:t xml:space="preserve"> numbers, </w:t>
      </w:r>
      <w:r w:rsidR="00652759">
        <w:t>the programme was also blighted by qualitative issues</w:t>
      </w:r>
      <w:r w:rsidR="0090700B">
        <w:t>. For example, o</w:t>
      </w:r>
      <w:r>
        <w:t>ne of the O-Regen Worknet projects involved h</w:t>
      </w:r>
      <w:r w:rsidR="0008642F">
        <w:t>elping unemployed residents improve</w:t>
      </w:r>
      <w:r>
        <w:t xml:space="preserve"> their CVs. Yet when a LBWF auditor examined what had been achieved, he concluded: ‘Some of the revised CVs were worse than the original’.</w:t>
      </w:r>
      <w:r>
        <w:rPr>
          <w:rStyle w:val="FootnoteReference"/>
        </w:rPr>
        <w:footnoteReference w:id="3"/>
      </w:r>
    </w:p>
    <w:p w14:paraId="67AADB8C" w14:textId="5CE8765F" w:rsidR="00142D3A" w:rsidRDefault="00C63F10" w:rsidP="00142D3A">
      <w:pPr>
        <w:pStyle w:val="ListParagraph"/>
        <w:numPr>
          <w:ilvl w:val="0"/>
          <w:numId w:val="1"/>
        </w:numPr>
        <w:jc w:val="both"/>
      </w:pPr>
      <w:r>
        <w:t>What explains Wor</w:t>
      </w:r>
      <w:r w:rsidR="004E6686">
        <w:t>knet’s profound underperformance</w:t>
      </w:r>
      <w:r>
        <w:t xml:space="preserve">? </w:t>
      </w:r>
      <w:r w:rsidR="00454097">
        <w:t>S</w:t>
      </w:r>
      <w:r w:rsidR="00142D3A">
        <w:t xml:space="preserve">ome of the problems that </w:t>
      </w:r>
      <w:r w:rsidR="00454097">
        <w:t>emerged, needless to say, stem</w:t>
      </w:r>
      <w:r w:rsidR="004E6686">
        <w:t>med</w:t>
      </w:r>
      <w:r w:rsidR="00454097">
        <w:t xml:space="preserve"> from</w:t>
      </w:r>
      <w:r w:rsidR="00142D3A">
        <w:t xml:space="preserve"> the wider context, principally, the economic downturn.</w:t>
      </w:r>
    </w:p>
    <w:p w14:paraId="2A2D9AFE" w14:textId="15DAA6BB" w:rsidR="001A571C" w:rsidRDefault="001A571C" w:rsidP="00142D3A">
      <w:pPr>
        <w:pStyle w:val="ListParagraph"/>
        <w:numPr>
          <w:ilvl w:val="0"/>
          <w:numId w:val="1"/>
        </w:numPr>
        <w:jc w:val="both"/>
      </w:pPr>
      <w:r>
        <w:t>However, that said, the</w:t>
      </w:r>
      <w:r w:rsidR="00454097">
        <w:t xml:space="preserve"> fate of Worknet cannot be described as</w:t>
      </w:r>
      <w:r>
        <w:t xml:space="preserve"> pre-determined, an</w:t>
      </w:r>
      <w:r w:rsidR="00454097">
        <w:t xml:space="preserve">d </w:t>
      </w:r>
      <w:r>
        <w:t>poor decision-making</w:t>
      </w:r>
      <w:r w:rsidR="004E6686">
        <w:t xml:space="preserve"> </w:t>
      </w:r>
      <w:r w:rsidR="00454097">
        <w:t>u</w:t>
      </w:r>
      <w:r w:rsidR="009B24BA">
        <w:t xml:space="preserve">narguably made the situation </w:t>
      </w:r>
      <w:r w:rsidR="005B57C5">
        <w:t>far worse than it needed to be</w:t>
      </w:r>
      <w:r>
        <w:t>.</w:t>
      </w:r>
    </w:p>
    <w:p w14:paraId="5C461B33" w14:textId="1BD8720A" w:rsidR="00D946C6" w:rsidRDefault="001A571C" w:rsidP="00142D3A">
      <w:pPr>
        <w:pStyle w:val="ListParagraph"/>
        <w:numPr>
          <w:ilvl w:val="0"/>
          <w:numId w:val="1"/>
        </w:numPr>
        <w:jc w:val="both"/>
      </w:pPr>
      <w:r>
        <w:t>Dealin</w:t>
      </w:r>
      <w:r w:rsidR="005B7766">
        <w:t>g first with the contractors</w:t>
      </w:r>
      <w:r>
        <w:t xml:space="preserve">, it is clear </w:t>
      </w:r>
      <w:r w:rsidR="00D946C6">
        <w:t>that some were</w:t>
      </w:r>
      <w:r>
        <w:t xml:space="preserve"> unprepared for the tasks that they took on, both in terms of management and in terms of competent staff</w:t>
      </w:r>
      <w:r w:rsidR="00D946C6">
        <w:t xml:space="preserve">, and their performance suffered as a consequence. There are also questions to be asked about the prices that were quoted in </w:t>
      </w:r>
      <w:r w:rsidR="00A535F2">
        <w:t xml:space="preserve">some </w:t>
      </w:r>
      <w:r w:rsidR="00D946C6">
        <w:t>bid documents</w:t>
      </w:r>
      <w:r w:rsidR="005B7766">
        <w:t>, because there is a suggestion</w:t>
      </w:r>
      <w:r w:rsidR="00D946C6">
        <w:t xml:space="preserve"> that</w:t>
      </w:r>
      <w:r w:rsidR="0090700B">
        <w:t xml:space="preserve">, in an effort to win, </w:t>
      </w:r>
      <w:r w:rsidR="00A535F2">
        <w:t xml:space="preserve">some </w:t>
      </w:r>
      <w:r w:rsidR="0090700B">
        <w:t>bidders</w:t>
      </w:r>
      <w:r w:rsidR="00D946C6">
        <w:t xml:space="preserve"> may have com</w:t>
      </w:r>
      <w:r w:rsidR="005B7766">
        <w:t xml:space="preserve">e in very low, </w:t>
      </w:r>
      <w:r w:rsidR="00D946C6">
        <w:t>undermining their ability to earn sufficient profit</w:t>
      </w:r>
      <w:r w:rsidR="005B7766">
        <w:t>, and thus compromising sustainability</w:t>
      </w:r>
      <w:r w:rsidR="00D946C6">
        <w:t>.</w:t>
      </w:r>
    </w:p>
    <w:p w14:paraId="2079294A" w14:textId="57E80B84" w:rsidR="009B24BA" w:rsidRDefault="00D946C6" w:rsidP="00142D3A">
      <w:pPr>
        <w:pStyle w:val="ListParagraph"/>
        <w:numPr>
          <w:ilvl w:val="0"/>
          <w:numId w:val="1"/>
        </w:numPr>
        <w:jc w:val="both"/>
      </w:pPr>
      <w:r>
        <w:t xml:space="preserve"> </w:t>
      </w:r>
      <w:r w:rsidR="005B7766">
        <w:t xml:space="preserve">On the other side of the equation, </w:t>
      </w:r>
      <w:r w:rsidR="009B24BA">
        <w:t>LBWF’s role in directing Worknet</w:t>
      </w:r>
      <w:r w:rsidR="00250A3E">
        <w:t xml:space="preserve"> – as has been documented - ranged from the bewildering</w:t>
      </w:r>
      <w:r w:rsidR="009B24BA">
        <w:t xml:space="preserve"> to the downright unhelpful.</w:t>
      </w:r>
    </w:p>
    <w:p w14:paraId="6EA4277E" w14:textId="6F7B9D97" w:rsidR="005B7766" w:rsidRDefault="009B24BA" w:rsidP="005B7766">
      <w:pPr>
        <w:pStyle w:val="ListParagraph"/>
        <w:numPr>
          <w:ilvl w:val="0"/>
          <w:numId w:val="1"/>
        </w:numPr>
        <w:jc w:val="both"/>
      </w:pPr>
      <w:r>
        <w:t xml:space="preserve">Why O-Regen was ever involved in the programme is inexplicable, because </w:t>
      </w:r>
      <w:r w:rsidR="00584B12">
        <w:t xml:space="preserve">in 2008/09 </w:t>
      </w:r>
      <w:r>
        <w:t>the cha</w:t>
      </w:r>
      <w:r w:rsidR="00584B12">
        <w:t>rity’s recent published accounts (readily available on the Charity Commission’s website, and even submitted</w:t>
      </w:r>
      <w:r w:rsidR="005743CE">
        <w:t xml:space="preserve"> to LBWF during </w:t>
      </w:r>
      <w:r w:rsidR="00FC419E">
        <w:t>the tendering</w:t>
      </w:r>
      <w:r w:rsidR="00584B12">
        <w:t xml:space="preserve"> process!) demonstrated unequivocally</w:t>
      </w:r>
      <w:r>
        <w:t xml:space="preserve"> that it was an accident waiting to happen.  </w:t>
      </w:r>
    </w:p>
    <w:p w14:paraId="6BA8EFF0" w14:textId="0D355369" w:rsidR="00402740" w:rsidRPr="008938CA" w:rsidRDefault="004E6686" w:rsidP="00402740">
      <w:pPr>
        <w:pStyle w:val="ListParagraph"/>
        <w:numPr>
          <w:ilvl w:val="0"/>
          <w:numId w:val="1"/>
        </w:numPr>
        <w:jc w:val="both"/>
      </w:pPr>
      <w:r w:rsidRPr="008938CA">
        <w:t>But putting that</w:t>
      </w:r>
      <w:r w:rsidR="005743CE" w:rsidRPr="008938CA">
        <w:t xml:space="preserve"> particular </w:t>
      </w:r>
      <w:r w:rsidR="00584B12" w:rsidRPr="008938CA">
        <w:t xml:space="preserve">case to one side, there is no doubt that LBWF’s </w:t>
      </w:r>
      <w:r w:rsidR="004A1B65">
        <w:t>more general stance was also</w:t>
      </w:r>
      <w:r w:rsidR="005743CE" w:rsidRPr="008938CA">
        <w:t xml:space="preserve"> </w:t>
      </w:r>
      <w:r w:rsidR="00584B12" w:rsidRPr="008938CA">
        <w:t>flawed.</w:t>
      </w:r>
    </w:p>
    <w:p w14:paraId="28BCEA19" w14:textId="675686DF" w:rsidR="00402740" w:rsidRDefault="005B57C5" w:rsidP="00402740">
      <w:pPr>
        <w:pStyle w:val="ListParagraph"/>
        <w:numPr>
          <w:ilvl w:val="0"/>
          <w:numId w:val="1"/>
        </w:numPr>
        <w:jc w:val="both"/>
      </w:pPr>
      <w:r>
        <w:t xml:space="preserve">The </w:t>
      </w:r>
      <w:r w:rsidR="00402740">
        <w:t>Rocket Science</w:t>
      </w:r>
      <w:r>
        <w:t xml:space="preserve"> report of 2010, already cited, </w:t>
      </w:r>
      <w:r w:rsidR="00402740">
        <w:t xml:space="preserve">is highly </w:t>
      </w:r>
      <w:r>
        <w:t>indicative,</w:t>
      </w:r>
      <w:r w:rsidR="008938CA">
        <w:t xml:space="preserve"> drawing together a pertinent critique which included the following observations: </w:t>
      </w:r>
    </w:p>
    <w:p w14:paraId="010688A6" w14:textId="77777777" w:rsidR="00B32BC6" w:rsidRDefault="00B32BC6" w:rsidP="00B32BC6">
      <w:pPr>
        <w:pStyle w:val="ListParagraph"/>
        <w:jc w:val="both"/>
      </w:pPr>
    </w:p>
    <w:p w14:paraId="726D8111" w14:textId="77777777" w:rsidR="00402740" w:rsidRDefault="00402740" w:rsidP="00B32BC6">
      <w:pPr>
        <w:pStyle w:val="ListParagraph"/>
        <w:numPr>
          <w:ilvl w:val="0"/>
          <w:numId w:val="3"/>
        </w:numPr>
        <w:ind w:right="503"/>
        <w:jc w:val="both"/>
      </w:pPr>
      <w:r>
        <w:t>providers were confused ‘regarding outputs that could be counted and whether referrals outside the programme were permitted or not’ (p.3);</w:t>
      </w:r>
    </w:p>
    <w:p w14:paraId="6DFD6E05" w14:textId="6C11CED4" w:rsidR="00402740" w:rsidRDefault="00402740" w:rsidP="00B32BC6">
      <w:pPr>
        <w:pStyle w:val="ListParagraph"/>
        <w:numPr>
          <w:ilvl w:val="0"/>
          <w:numId w:val="3"/>
        </w:numPr>
        <w:ind w:right="503"/>
        <w:jc w:val="both"/>
      </w:pPr>
      <w:r>
        <w:t>mitigating action needed to be taken against ‘unreas</w:t>
      </w:r>
      <w:r w:rsidR="005743CE">
        <w:t>onable “</w:t>
      </w:r>
      <w:r w:rsidR="005B7766">
        <w:t xml:space="preserve">parking and </w:t>
      </w:r>
      <w:r w:rsidR="00470862">
        <w:t>creaming”</w:t>
      </w:r>
      <w:r>
        <w:t xml:space="preserve"> of clients’ (p.4);</w:t>
      </w:r>
    </w:p>
    <w:p w14:paraId="2E72B7F8" w14:textId="2BDB75DB" w:rsidR="00402740" w:rsidRDefault="00470862" w:rsidP="00B32BC6">
      <w:pPr>
        <w:pStyle w:val="ListParagraph"/>
        <w:numPr>
          <w:ilvl w:val="0"/>
          <w:numId w:val="3"/>
        </w:numPr>
        <w:ind w:right="503"/>
        <w:jc w:val="both"/>
      </w:pPr>
      <w:r>
        <w:t xml:space="preserve">clients </w:t>
      </w:r>
      <w:r w:rsidR="00402740">
        <w:t>applying for help were only registered by post code and date of birth, rather than national insur</w:t>
      </w:r>
      <w:r w:rsidR="00FC419E">
        <w:t>ance number, opening the way to</w:t>
      </w:r>
      <w:r w:rsidR="00402740">
        <w:t xml:space="preserve"> fraud (p.5);</w:t>
      </w:r>
    </w:p>
    <w:p w14:paraId="02086C34" w14:textId="2754C29A" w:rsidR="00402740" w:rsidRDefault="00583977" w:rsidP="00B32BC6">
      <w:pPr>
        <w:pStyle w:val="ListParagraph"/>
        <w:numPr>
          <w:ilvl w:val="0"/>
          <w:numId w:val="3"/>
        </w:numPr>
        <w:ind w:right="503"/>
        <w:jc w:val="both"/>
      </w:pPr>
      <w:r>
        <w:t>the manner in which</w:t>
      </w:r>
      <w:r w:rsidR="00402740">
        <w:t xml:space="preserve"> t</w:t>
      </w:r>
      <w:r w:rsidR="00FC419E">
        <w:t xml:space="preserve">he contracts </w:t>
      </w:r>
      <w:r w:rsidR="005B57C5">
        <w:t>had evolved over time ‘</w:t>
      </w:r>
      <w:r w:rsidR="00402740">
        <w:t>undermined the propensity for providers to move participants on to provision that may be more appropriate for the participant’ (p.26)</w:t>
      </w:r>
      <w:r w:rsidR="00977746">
        <w:t>;</w:t>
      </w:r>
    </w:p>
    <w:p w14:paraId="0882EEB9" w14:textId="544F8544" w:rsidR="00977746" w:rsidRDefault="00402740" w:rsidP="00B32BC6">
      <w:pPr>
        <w:pStyle w:val="ListParagraph"/>
        <w:numPr>
          <w:ilvl w:val="0"/>
          <w:numId w:val="3"/>
        </w:numPr>
        <w:ind w:right="503"/>
        <w:jc w:val="both"/>
      </w:pPr>
      <w:r>
        <w:t xml:space="preserve">though the council had purchased a bespoke </w:t>
      </w:r>
      <w:r w:rsidR="003554BB">
        <w:t xml:space="preserve">IT </w:t>
      </w:r>
      <w:r>
        <w:t xml:space="preserve">programme to track each client’s progress in a common format, and supplied it to providers, its use was not mandatory, and as a consequence </w:t>
      </w:r>
      <w:r w:rsidR="00384D06">
        <w:t xml:space="preserve">uptake was </w:t>
      </w:r>
      <w:r>
        <w:t>patchy (pp.29-30)</w:t>
      </w:r>
      <w:r w:rsidR="00977746">
        <w:t>;</w:t>
      </w:r>
    </w:p>
    <w:p w14:paraId="62C440DC" w14:textId="6780FB71" w:rsidR="00402740" w:rsidRDefault="005B57C5" w:rsidP="00B32BC6">
      <w:pPr>
        <w:pStyle w:val="ListParagraph"/>
        <w:numPr>
          <w:ilvl w:val="0"/>
          <w:numId w:val="3"/>
        </w:numPr>
        <w:ind w:right="503"/>
        <w:jc w:val="both"/>
      </w:pPr>
      <w:r>
        <w:t>‘c</w:t>
      </w:r>
      <w:r w:rsidR="00402740">
        <w:t>ontracted partners</w:t>
      </w:r>
      <w:r w:rsidR="00384D06">
        <w:t>’</w:t>
      </w:r>
      <w:r>
        <w:t xml:space="preserve"> felt</w:t>
      </w:r>
      <w:r w:rsidR="00402740">
        <w:t xml:space="preserve"> </w:t>
      </w:r>
      <w:r>
        <w:t>‘</w:t>
      </w:r>
      <w:r w:rsidR="00402740">
        <w:t>disconnected from decision-m</w:t>
      </w:r>
      <w:r w:rsidR="003554BB">
        <w:t>akers…</w:t>
      </w:r>
      <w:r w:rsidR="00402740">
        <w:t>people and organisations with influence and potentially budgets that could help</w:t>
      </w:r>
      <w:r w:rsidR="003554BB">
        <w:t xml:space="preserve"> Worknet achieve its objectives...</w:t>
      </w:r>
      <w:r w:rsidR="00402740">
        <w:t>an important contributory factor being the lack of a Head of Economic Development for a full year and at a juncture that was particularly crucial to the development of Worknet’ (p.38); and</w:t>
      </w:r>
    </w:p>
    <w:p w14:paraId="133F9BB4" w14:textId="7AAB02F6" w:rsidR="00236455" w:rsidRDefault="00402740" w:rsidP="00B32BC6">
      <w:pPr>
        <w:pStyle w:val="ListParagraph"/>
        <w:numPr>
          <w:ilvl w:val="0"/>
          <w:numId w:val="3"/>
        </w:numPr>
        <w:ind w:right="503"/>
        <w:jc w:val="both"/>
      </w:pPr>
      <w:r>
        <w:t>‘In the absence of a manual or set of standard proformas, a range of different methods was employed to track and evidence outputs and outcomes’ (p.46).</w:t>
      </w:r>
    </w:p>
    <w:p w14:paraId="72B50A9D" w14:textId="77777777" w:rsidR="00B32BC6" w:rsidRDefault="00B32BC6" w:rsidP="00B32BC6">
      <w:pPr>
        <w:pStyle w:val="ListParagraph"/>
        <w:ind w:left="1440" w:right="503"/>
        <w:jc w:val="both"/>
      </w:pPr>
    </w:p>
    <w:p w14:paraId="11019563" w14:textId="2056DF8E" w:rsidR="008C6244" w:rsidRDefault="008C6244" w:rsidP="00B40F1D">
      <w:pPr>
        <w:pStyle w:val="ListParagraph"/>
        <w:numPr>
          <w:ilvl w:val="0"/>
          <w:numId w:val="1"/>
        </w:numPr>
        <w:jc w:val="both"/>
      </w:pPr>
      <w:r>
        <w:t>A few months later, in February 2011, the Centre For Economic a</w:t>
      </w:r>
      <w:r w:rsidR="00236455">
        <w:t>nd Social Inclusion and Shared I</w:t>
      </w:r>
      <w:r>
        <w:t>ntelligence noted of Worknet:</w:t>
      </w:r>
      <w:r w:rsidR="00236455">
        <w:t xml:space="preserve"> </w:t>
      </w:r>
      <w:r>
        <w:t>‘The…commissioning process has been slow and bureaucratic, which delayed start up. The borough’s view is that the commissioning process has improved…However, contractors remained critical of the procurement process and contract management, citing delays in payment and a lack of understanding of operational delivery as problems that they had encountered’ (Centre For Economic a</w:t>
      </w:r>
      <w:r w:rsidR="00236455">
        <w:t>nd Social Inclusion and Shared I</w:t>
      </w:r>
      <w:r>
        <w:t xml:space="preserve">ntelligence, </w:t>
      </w:r>
      <w:r w:rsidR="00B40F1D" w:rsidRPr="00236455">
        <w:rPr>
          <w:i/>
        </w:rPr>
        <w:t>East and Southeast London City Strategy Pathfinder E</w:t>
      </w:r>
      <w:r w:rsidRPr="00236455">
        <w:rPr>
          <w:i/>
        </w:rPr>
        <w:t>valuation</w:t>
      </w:r>
      <w:r>
        <w:t xml:space="preserve">, </w:t>
      </w:r>
      <w:r w:rsidRPr="00236455">
        <w:rPr>
          <w:i/>
        </w:rPr>
        <w:t>Final Report</w:t>
      </w:r>
      <w:r w:rsidR="00B40F1D">
        <w:t xml:space="preserve"> (February 2011), p.61).</w:t>
      </w:r>
    </w:p>
    <w:p w14:paraId="59656318" w14:textId="267B53A6" w:rsidR="009E6DE4" w:rsidRDefault="00433F4B" w:rsidP="00F70715">
      <w:pPr>
        <w:pStyle w:val="ListParagraph"/>
        <w:numPr>
          <w:ilvl w:val="0"/>
          <w:numId w:val="1"/>
        </w:numPr>
        <w:jc w:val="both"/>
      </w:pPr>
      <w:r>
        <w:t>What makes this all this particularly</w:t>
      </w:r>
      <w:r w:rsidR="00402740">
        <w:t xml:space="preserve"> lamentable is the sense tha</w:t>
      </w:r>
      <w:r w:rsidR="003467F1">
        <w:t>t, even when LBWF possessed clear evidence</w:t>
      </w:r>
      <w:r w:rsidR="00402740">
        <w:t xml:space="preserve"> tha</w:t>
      </w:r>
      <w:r w:rsidR="00716812">
        <w:t xml:space="preserve">t </w:t>
      </w:r>
      <w:r w:rsidR="005B57C5">
        <w:t xml:space="preserve">urgent </w:t>
      </w:r>
      <w:r w:rsidR="00716812">
        <w:t xml:space="preserve">remedial action was necessary, </w:t>
      </w:r>
      <w:r w:rsidR="003C761C">
        <w:t xml:space="preserve">it was slow to react, as </w:t>
      </w:r>
      <w:r w:rsidR="00716812">
        <w:t xml:space="preserve">the </w:t>
      </w:r>
      <w:r w:rsidR="00470862">
        <w:t xml:space="preserve">trajectory of </w:t>
      </w:r>
      <w:r w:rsidR="00583FE6">
        <w:t xml:space="preserve">the </w:t>
      </w:r>
      <w:r w:rsidR="00384D06">
        <w:t xml:space="preserve">individual </w:t>
      </w:r>
      <w:r w:rsidR="00716812">
        <w:t>contract</w:t>
      </w:r>
      <w:r w:rsidR="00384D06">
        <w:t>s discus</w:t>
      </w:r>
      <w:r w:rsidR="003C761C">
        <w:t>sed here vividly illustrates</w:t>
      </w:r>
      <w:r w:rsidR="00716812">
        <w:t>.</w:t>
      </w:r>
    </w:p>
    <w:p w14:paraId="16AB1B97" w14:textId="300F8985" w:rsidR="003467F1" w:rsidRDefault="00236455" w:rsidP="003467F1">
      <w:pPr>
        <w:pStyle w:val="ListParagraph"/>
        <w:numPr>
          <w:ilvl w:val="0"/>
          <w:numId w:val="1"/>
        </w:numPr>
        <w:jc w:val="both"/>
      </w:pPr>
      <w:r>
        <w:t>Indeed, it</w:t>
      </w:r>
      <w:r w:rsidR="003C761C">
        <w:t xml:space="preserve"> says much</w:t>
      </w:r>
      <w:r w:rsidR="008C414E">
        <w:t xml:space="preserve"> about LBWF’s stance tha</w:t>
      </w:r>
      <w:r w:rsidR="009E6DE4">
        <w:t>t, in response</w:t>
      </w:r>
      <w:r w:rsidR="00405384">
        <w:t xml:space="preserve"> to recent questioning, it was able to</w:t>
      </w:r>
      <w:r w:rsidR="009E6DE4">
        <w:t xml:space="preserve"> confirm tha</w:t>
      </w:r>
      <w:r w:rsidR="003C761C">
        <w:t xml:space="preserve">t the Rocket Science report </w:t>
      </w:r>
      <w:r w:rsidR="009E6DE4">
        <w:t>cost £21,</w:t>
      </w:r>
      <w:r w:rsidR="003C761C">
        <w:t>719, but could produce</w:t>
      </w:r>
      <w:r w:rsidR="00405384">
        <w:t xml:space="preserve"> no information at all about</w:t>
      </w:r>
      <w:r w:rsidR="009E6DE4">
        <w:t xml:space="preserve"> ‘which Council committees or groupings of officers considered this report, and what actions – if any – foll</w:t>
      </w:r>
      <w:r w:rsidR="00FC419E">
        <w:t>owed its submission’ (see Agass-</w:t>
      </w:r>
      <w:r w:rsidR="009E6DE4">
        <w:t>Tiratsoo, 11 September 2012).</w:t>
      </w:r>
    </w:p>
    <w:p w14:paraId="06534ED7" w14:textId="3FE3A78E" w:rsidR="00273D7D" w:rsidRDefault="00CA0B7A" w:rsidP="00FF240D">
      <w:pPr>
        <w:pStyle w:val="ListParagraph"/>
        <w:numPr>
          <w:ilvl w:val="0"/>
          <w:numId w:val="1"/>
        </w:numPr>
        <w:jc w:val="both"/>
      </w:pPr>
      <w:r>
        <w:t xml:space="preserve"> It is also </w:t>
      </w:r>
      <w:r w:rsidR="0034577F">
        <w:t>worth pointing out that</w:t>
      </w:r>
      <w:r w:rsidR="00E53930">
        <w:t xml:space="preserve"> for most</w:t>
      </w:r>
      <w:r w:rsidR="001A3DB2">
        <w:t xml:space="preserve"> of the time they were running Worknet, officers </w:t>
      </w:r>
      <w:r w:rsidR="0034577F">
        <w:t xml:space="preserve">had access to </w:t>
      </w:r>
      <w:r w:rsidR="003C761C" w:rsidRPr="00CA0B7A">
        <w:t>the</w:t>
      </w:r>
      <w:r w:rsidR="004A1B65">
        <w:t xml:space="preserve"> 2009</w:t>
      </w:r>
      <w:r w:rsidR="003C761C" w:rsidRPr="00CA0B7A">
        <w:t xml:space="preserve"> I</w:t>
      </w:r>
      <w:r w:rsidR="004A1B65">
        <w:t>ndependent Panel report</w:t>
      </w:r>
      <w:r w:rsidR="001A3DB2">
        <w:t xml:space="preserve"> into the Council’s mismanagement</w:t>
      </w:r>
      <w:r w:rsidR="003C761C" w:rsidRPr="00CA0B7A">
        <w:t xml:space="preserve"> of regeneration contracts</w:t>
      </w:r>
      <w:r w:rsidR="0034577F">
        <w:t xml:space="preserve">, which </w:t>
      </w:r>
      <w:r w:rsidR="001A3DB2">
        <w:t xml:space="preserve">analysed </w:t>
      </w:r>
      <w:r w:rsidR="003C761C" w:rsidRPr="00CA0B7A">
        <w:t>what had gone wrong, and</w:t>
      </w:r>
      <w:r w:rsidR="001A3DB2">
        <w:t xml:space="preserve"> offered a wealth of detailed advice about</w:t>
      </w:r>
      <w:r w:rsidR="003C761C" w:rsidRPr="00CA0B7A">
        <w:t xml:space="preserve"> how programmes using outside contractors could be better handled. </w:t>
      </w:r>
      <w:r w:rsidR="003C761C" w:rsidRPr="00CA0B7A">
        <w:rPr>
          <w:rStyle w:val="FootnoteReference"/>
        </w:rPr>
        <w:footnoteReference w:id="4"/>
      </w:r>
      <w:r w:rsidR="00347B25" w:rsidRPr="00CA0B7A">
        <w:t xml:space="preserve"> </w:t>
      </w:r>
      <w:r w:rsidR="003C761C" w:rsidRPr="00CA0B7A">
        <w:t>The lessons for Wo</w:t>
      </w:r>
      <w:r w:rsidR="0034577F">
        <w:t>rknet were there to be le</w:t>
      </w:r>
      <w:r w:rsidR="001A3DB2">
        <w:t>arnt, therefore, had there been the will</w:t>
      </w:r>
      <w:r w:rsidR="0034577F">
        <w:t>.</w:t>
      </w:r>
    </w:p>
    <w:p w14:paraId="5A129AE4" w14:textId="77777777" w:rsidR="00C01D17" w:rsidRDefault="00C01D17" w:rsidP="00C01D17">
      <w:pPr>
        <w:ind w:left="360"/>
        <w:rPr>
          <w:b/>
        </w:rPr>
      </w:pPr>
    </w:p>
    <w:p w14:paraId="15989BAC" w14:textId="77777777" w:rsidR="00C01D17" w:rsidRPr="00C01D17" w:rsidRDefault="00C01D17" w:rsidP="00C01D17">
      <w:pPr>
        <w:ind w:left="360"/>
        <w:rPr>
          <w:b/>
        </w:rPr>
      </w:pPr>
      <w:r w:rsidRPr="00C01D17">
        <w:rPr>
          <w:b/>
        </w:rPr>
        <w:t>Bringing the story up-to-date</w:t>
      </w:r>
    </w:p>
    <w:p w14:paraId="4708ACE8" w14:textId="77777777" w:rsidR="00C01D17" w:rsidRDefault="00C01D17" w:rsidP="00C01D17">
      <w:pPr>
        <w:jc w:val="both"/>
      </w:pPr>
    </w:p>
    <w:p w14:paraId="07B1ADB3" w14:textId="6D71DFE4" w:rsidR="00C01D17" w:rsidRDefault="00043BFC" w:rsidP="00FF240D">
      <w:pPr>
        <w:pStyle w:val="ListParagraph"/>
        <w:numPr>
          <w:ilvl w:val="0"/>
          <w:numId w:val="1"/>
        </w:numPr>
        <w:jc w:val="both"/>
      </w:pPr>
      <w:r>
        <w:t>In February 2013, I asked Martin Esom, LBWF chief e</w:t>
      </w:r>
      <w:r w:rsidR="00F75614">
        <w:t xml:space="preserve">xecutive, about </w:t>
      </w:r>
      <w:r w:rsidR="004A1B65">
        <w:t xml:space="preserve">his </w:t>
      </w:r>
      <w:r w:rsidR="00BC351A">
        <w:t>senior management team</w:t>
      </w:r>
      <w:r w:rsidR="00F75614">
        <w:t>’s</w:t>
      </w:r>
      <w:r w:rsidR="00BC351A">
        <w:t xml:space="preserve"> knowledge of, and response to, </w:t>
      </w:r>
      <w:r>
        <w:t>O-Regen</w:t>
      </w:r>
      <w:r w:rsidR="00BC351A">
        <w:t>’s failings</w:t>
      </w:r>
      <w:r>
        <w:t>, but he declined</w:t>
      </w:r>
      <w:r w:rsidR="00F75614">
        <w:t xml:space="preserve"> to answer directly, only if my</w:t>
      </w:r>
      <w:r>
        <w:t xml:space="preserve"> questions were re-submitted under the FIA, noting that ‘the Council is under no legal obligation to enter into correspondence with residents </w:t>
      </w:r>
      <w:r w:rsidR="002A7DD1">
        <w:t>on any matter’ (Esom-Tiratsoo, 27 February 2013).</w:t>
      </w:r>
    </w:p>
    <w:p w14:paraId="668DB9B5" w14:textId="0441C8CD" w:rsidR="002A7DD1" w:rsidRDefault="002A7DD1" w:rsidP="00FF240D">
      <w:pPr>
        <w:pStyle w:val="ListParagraph"/>
        <w:numPr>
          <w:ilvl w:val="0"/>
          <w:numId w:val="1"/>
        </w:numPr>
        <w:jc w:val="both"/>
      </w:pPr>
      <w:r>
        <w:t>Subsequently, LBWF circulated an internal audit report on Worknet completed in September 2012, which, it pointed out</w:t>
      </w:r>
      <w:r w:rsidR="00BC351A">
        <w:t>,</w:t>
      </w:r>
      <w:r>
        <w:t xml:space="preserve"> gave the programme ‘substantial assurance’</w:t>
      </w:r>
      <w:r w:rsidR="000533F3">
        <w:t xml:space="preserve"> (</w:t>
      </w:r>
      <w:r w:rsidR="000533F3" w:rsidRPr="00B437B1">
        <w:rPr>
          <w:i/>
        </w:rPr>
        <w:t>Final Audit Report on Worknet</w:t>
      </w:r>
      <w:r w:rsidR="000533F3">
        <w:t>, op.cit., p.1)</w:t>
      </w:r>
    </w:p>
    <w:p w14:paraId="7FBB3A38" w14:textId="626D3351" w:rsidR="002A7DD1" w:rsidRDefault="002A7DD1" w:rsidP="00FF240D">
      <w:pPr>
        <w:pStyle w:val="ListParagraph"/>
        <w:numPr>
          <w:ilvl w:val="0"/>
          <w:numId w:val="1"/>
        </w:numPr>
        <w:jc w:val="both"/>
      </w:pPr>
      <w:r>
        <w:t>However, close reading of this document revealed that it</w:t>
      </w:r>
      <w:r w:rsidR="00BC351A">
        <w:t>, too,</w:t>
      </w:r>
      <w:r>
        <w:t xml:space="preserve"> was critically flawed.</w:t>
      </w:r>
    </w:p>
    <w:p w14:paraId="633D1E7A" w14:textId="2C9404D7" w:rsidR="002A7DD1" w:rsidRDefault="00B32BC6" w:rsidP="002A7DD1">
      <w:pPr>
        <w:pStyle w:val="ListParagraph"/>
        <w:numPr>
          <w:ilvl w:val="0"/>
          <w:numId w:val="1"/>
        </w:numPr>
        <w:jc w:val="both"/>
      </w:pPr>
      <w:r>
        <w:t xml:space="preserve">The report’s authors </w:t>
      </w:r>
      <w:r w:rsidR="002A7DD1" w:rsidRPr="002A7DD1">
        <w:t>admitted, to begin with, that ‘The assurance level awarded’ was</w:t>
      </w:r>
      <w:r w:rsidR="002A7DD1">
        <w:t xml:space="preserve"> not comparable with industry standard, </w:t>
      </w:r>
      <w:r w:rsidR="002A7DD1" w:rsidRPr="002A7DD1">
        <w:t>the International Audit and Assurance Standards Board’</w:t>
      </w:r>
      <w:r w:rsidR="002A7DD1">
        <w:t>s ISAE 3000 (</w:t>
      </w:r>
      <w:r w:rsidR="00C81E1B">
        <w:t>i</w:t>
      </w:r>
      <w:r w:rsidR="000533F3">
        <w:t xml:space="preserve">bid., </w:t>
      </w:r>
      <w:r w:rsidR="002A7DD1">
        <w:t>p.17).</w:t>
      </w:r>
    </w:p>
    <w:p w14:paraId="3AC717F8" w14:textId="20A4434B" w:rsidR="002A7DD1" w:rsidRDefault="002A7DD1" w:rsidP="002A7DD1">
      <w:pPr>
        <w:pStyle w:val="ListParagraph"/>
        <w:numPr>
          <w:ilvl w:val="0"/>
          <w:numId w:val="1"/>
        </w:numPr>
        <w:jc w:val="both"/>
      </w:pPr>
      <w:r w:rsidRPr="002A7DD1">
        <w:t xml:space="preserve">Moreover, </w:t>
      </w:r>
      <w:r w:rsidR="00B32BC6">
        <w:t xml:space="preserve">inspection revealed that </w:t>
      </w:r>
      <w:r w:rsidRPr="002A7DD1">
        <w:t>the report only</w:t>
      </w:r>
      <w:r>
        <w:t xml:space="preserve"> dealt</w:t>
      </w:r>
      <w:r w:rsidRPr="002A7DD1">
        <w:t xml:space="preserve"> with the period </w:t>
      </w:r>
      <w:r w:rsidR="00BC351A">
        <w:t xml:space="preserve">April 2011 to July 2012, a choice that was unexplained, but of course </w:t>
      </w:r>
      <w:r w:rsidR="004A1B65">
        <w:t xml:space="preserve">left out the bulk of the programme, including </w:t>
      </w:r>
      <w:r w:rsidR="00BC351A">
        <w:t>what had happened with O-Regen</w:t>
      </w:r>
      <w:r w:rsidRPr="002A7DD1">
        <w:t>.</w:t>
      </w:r>
    </w:p>
    <w:p w14:paraId="34C080FF" w14:textId="43C64E6C" w:rsidR="002A7DD1" w:rsidRDefault="00BC351A" w:rsidP="002A7DD1">
      <w:pPr>
        <w:pStyle w:val="ListParagraph"/>
        <w:numPr>
          <w:ilvl w:val="0"/>
          <w:numId w:val="1"/>
        </w:numPr>
        <w:jc w:val="both"/>
      </w:pPr>
      <w:r>
        <w:t>In fact, the report strongly implied</w:t>
      </w:r>
      <w:r w:rsidR="002A7DD1" w:rsidRPr="00BC351A">
        <w:t xml:space="preserve"> that the Worknet programme </w:t>
      </w:r>
      <w:r>
        <w:t xml:space="preserve">had </w:t>
      </w:r>
      <w:r w:rsidR="002A7DD1" w:rsidRPr="00BC351A">
        <w:t>start</w:t>
      </w:r>
      <w:r w:rsidR="004A1B65">
        <w:t>ed in Apr</w:t>
      </w:r>
      <w:r w:rsidR="001400BA">
        <w:t>il 2010, when</w:t>
      </w:r>
      <w:r w:rsidR="004A1B65">
        <w:t xml:space="preserve">, </w:t>
      </w:r>
      <w:r w:rsidR="004A1B65" w:rsidRPr="00BC351A">
        <w:t xml:space="preserve">according to a </w:t>
      </w:r>
      <w:r w:rsidR="004A1B65">
        <w:t xml:space="preserve">previous </w:t>
      </w:r>
      <w:r w:rsidR="004A1B65" w:rsidRPr="00BC351A">
        <w:t xml:space="preserve">LBWF FIA deposition, </w:t>
      </w:r>
      <w:r w:rsidR="004A1B65">
        <w:t>f</w:t>
      </w:r>
      <w:r w:rsidR="002A7DD1" w:rsidRPr="00BC351A">
        <w:t xml:space="preserve">rom June 2008 to April 2010, </w:t>
      </w:r>
      <w:r w:rsidR="001400BA">
        <w:t xml:space="preserve">no less than </w:t>
      </w:r>
      <w:r w:rsidR="002A7DD1" w:rsidRPr="00BC351A">
        <w:t>six pr</w:t>
      </w:r>
      <w:r w:rsidR="001400BA">
        <w:t>oviders already had enjoyed</w:t>
      </w:r>
      <w:r w:rsidR="002A7DD1" w:rsidRPr="00BC351A">
        <w:t xml:space="preserve"> te</w:t>
      </w:r>
      <w:r w:rsidR="001400BA">
        <w:t>n Worknet contracts worth £1.8m!</w:t>
      </w:r>
    </w:p>
    <w:p w14:paraId="194C1109" w14:textId="0AF488AC" w:rsidR="002A7DD1" w:rsidRDefault="00BC351A" w:rsidP="002A7DD1">
      <w:pPr>
        <w:pStyle w:val="ListParagraph"/>
        <w:numPr>
          <w:ilvl w:val="0"/>
          <w:numId w:val="1"/>
        </w:numPr>
        <w:jc w:val="both"/>
      </w:pPr>
      <w:r>
        <w:t>Similar imprecision was evident over funding. The report stated</w:t>
      </w:r>
      <w:r w:rsidR="002A7DD1" w:rsidRPr="00BC351A">
        <w:t xml:space="preserve"> tha</w:t>
      </w:r>
      <w:r w:rsidR="00B32BC6">
        <w:t>t ‘The Worknet programme is</w:t>
      </w:r>
      <w:r w:rsidR="002A7DD1" w:rsidRPr="00BC351A">
        <w:t xml:space="preserve"> funded by the Greater London Authority (GLA) through the Host Boroughs’ (</w:t>
      </w:r>
      <w:r w:rsidR="00C81E1B">
        <w:t xml:space="preserve">ibid., </w:t>
      </w:r>
      <w:r w:rsidR="002A7DD1" w:rsidRPr="00BC351A">
        <w:t>p.1), when Cabinet minu</w:t>
      </w:r>
      <w:r w:rsidR="004A1B65">
        <w:t>tes in September 2010</w:t>
      </w:r>
      <w:r w:rsidR="002A7DD1" w:rsidRPr="00BC351A">
        <w:t xml:space="preserve"> show</w:t>
      </w:r>
      <w:r w:rsidR="00F75614">
        <w:t>ed</w:t>
      </w:r>
      <w:r w:rsidR="004A1B65">
        <w:t xml:space="preserve"> that the WOI contract was in fact financed by </w:t>
      </w:r>
      <w:r w:rsidR="002A7DD1" w:rsidRPr="00BC351A">
        <w:t>the very different DCLG Working Neighbourhoods Fund.</w:t>
      </w:r>
    </w:p>
    <w:p w14:paraId="0D5A576D" w14:textId="205409BD" w:rsidR="00B32BC6" w:rsidRDefault="003C15B8" w:rsidP="00B32BC6">
      <w:pPr>
        <w:pStyle w:val="ListParagraph"/>
        <w:numPr>
          <w:ilvl w:val="0"/>
          <w:numId w:val="1"/>
        </w:numPr>
        <w:jc w:val="both"/>
      </w:pPr>
      <w:r>
        <w:t xml:space="preserve">Finally, </w:t>
      </w:r>
      <w:r w:rsidR="00BC351A">
        <w:t xml:space="preserve">the </w:t>
      </w:r>
      <w:r>
        <w:t xml:space="preserve">report’s </w:t>
      </w:r>
      <w:r w:rsidR="00BC351A">
        <w:t>reassuring conclusion</w:t>
      </w:r>
      <w:r w:rsidR="00B32BC6">
        <w:t xml:space="preserve"> was puzzlingly </w:t>
      </w:r>
      <w:r>
        <w:t>at odds with many of its detailed findings, for instance, the following</w:t>
      </w:r>
      <w:r w:rsidR="002A7DD1" w:rsidRPr="00BC351A">
        <w:t>:</w:t>
      </w:r>
    </w:p>
    <w:p w14:paraId="26651FBA" w14:textId="77777777" w:rsidR="00B32BC6" w:rsidRDefault="00B32BC6" w:rsidP="00B32BC6">
      <w:pPr>
        <w:pStyle w:val="ListParagraph"/>
        <w:jc w:val="both"/>
      </w:pPr>
    </w:p>
    <w:p w14:paraId="5DFB1D77" w14:textId="28FE026D" w:rsidR="00B32BC6" w:rsidRDefault="00B32BC6" w:rsidP="00B32BC6">
      <w:pPr>
        <w:pStyle w:val="ListParagraph"/>
        <w:numPr>
          <w:ilvl w:val="0"/>
          <w:numId w:val="10"/>
        </w:numPr>
        <w:ind w:right="503"/>
        <w:jc w:val="both"/>
      </w:pPr>
      <w:r>
        <w:t>Worknet contracts contained ‘no proced</w:t>
      </w:r>
      <w:r w:rsidR="004A1B65">
        <w:t xml:space="preserve">ures…with regards [to] actions </w:t>
      </w:r>
      <w:r>
        <w:t>to be taken in relation to delivery partners performing below expected levels’ (</w:t>
      </w:r>
      <w:r w:rsidR="000533F3">
        <w:t xml:space="preserve">ibid., </w:t>
      </w:r>
      <w:r>
        <w:t>p.3);</w:t>
      </w:r>
    </w:p>
    <w:p w14:paraId="05A64ACE" w14:textId="7D896BFB" w:rsidR="00B32BC6" w:rsidRDefault="00B32BC6" w:rsidP="00B32BC6">
      <w:pPr>
        <w:pStyle w:val="ListParagraph"/>
        <w:numPr>
          <w:ilvl w:val="0"/>
          <w:numId w:val="10"/>
        </w:numPr>
        <w:ind w:right="503"/>
        <w:jc w:val="both"/>
      </w:pPr>
      <w:r>
        <w:t>in relation to the procurement of the Kennedy Scott contract, ‘no documentation relating to the competing tenders…[had been] retained’ (</w:t>
      </w:r>
      <w:r w:rsidR="000533F3">
        <w:t>ibid.,</w:t>
      </w:r>
      <w:r w:rsidR="00C81E1B">
        <w:t xml:space="preserve"> </w:t>
      </w:r>
      <w:r w:rsidR="00AF7DC8">
        <w:t>p.3);</w:t>
      </w:r>
    </w:p>
    <w:p w14:paraId="57907BE1" w14:textId="189D8E32" w:rsidR="00B32BC6" w:rsidRDefault="00B32BC6" w:rsidP="00B32BC6">
      <w:pPr>
        <w:pStyle w:val="ListParagraph"/>
        <w:numPr>
          <w:ilvl w:val="0"/>
          <w:numId w:val="10"/>
        </w:numPr>
        <w:ind w:right="503"/>
        <w:jc w:val="both"/>
      </w:pPr>
      <w:r>
        <w:t>there were</w:t>
      </w:r>
      <w:r w:rsidRPr="00BC351A">
        <w:t xml:space="preserve"> </w:t>
      </w:r>
      <w:r>
        <w:t>‘</w:t>
      </w:r>
      <w:r w:rsidRPr="00BC351A">
        <w:t xml:space="preserve">no documented procedures </w:t>
      </w:r>
      <w:r>
        <w:t xml:space="preserve">in place </w:t>
      </w:r>
      <w:r w:rsidRPr="00BC351A">
        <w:t xml:space="preserve">for contract monitoring’, which presented ‘a risk in terms of inconsistent approaches to monitoring on the </w:t>
      </w:r>
      <w:r>
        <w:t>project’ (</w:t>
      </w:r>
      <w:r w:rsidR="00C81E1B">
        <w:t xml:space="preserve">ibid., </w:t>
      </w:r>
      <w:r>
        <w:t>p.8);</w:t>
      </w:r>
    </w:p>
    <w:p w14:paraId="5CED45AC" w14:textId="09850228" w:rsidR="00B32BC6" w:rsidRPr="00F75614" w:rsidRDefault="00B32BC6" w:rsidP="00B32BC6">
      <w:pPr>
        <w:pStyle w:val="ListParagraph"/>
        <w:numPr>
          <w:ilvl w:val="0"/>
          <w:numId w:val="10"/>
        </w:numPr>
        <w:ind w:right="503"/>
        <w:jc w:val="both"/>
      </w:pPr>
      <w:r>
        <w:t>while c</w:t>
      </w:r>
      <w:r w:rsidRPr="00F75614">
        <w:t>ontract review meetings were</w:t>
      </w:r>
      <w:r>
        <w:t xml:space="preserve"> supposed to occur monthly, in the case of WOI</w:t>
      </w:r>
      <w:r w:rsidRPr="00F75614">
        <w:t xml:space="preserve">, </w:t>
      </w:r>
      <w:r>
        <w:t xml:space="preserve">they </w:t>
      </w:r>
      <w:r w:rsidRPr="00F75614">
        <w:t>were only recorded</w:t>
      </w:r>
      <w:r>
        <w:t xml:space="preserve"> as happening twice in 17 months</w:t>
      </w:r>
      <w:r w:rsidRPr="00F75614">
        <w:t xml:space="preserve"> </w:t>
      </w:r>
      <w:r>
        <w:t>of delivery (</w:t>
      </w:r>
      <w:r w:rsidR="00C81E1B">
        <w:t xml:space="preserve">ibid., </w:t>
      </w:r>
      <w:r>
        <w:t>p</w:t>
      </w:r>
      <w:r w:rsidR="00C81E1B">
        <w:t>p</w:t>
      </w:r>
      <w:r>
        <w:t>.3-4);</w:t>
      </w:r>
    </w:p>
    <w:p w14:paraId="1596B6A5" w14:textId="4EB076CC" w:rsidR="00B32BC6" w:rsidRDefault="00B32BC6" w:rsidP="00B32BC6">
      <w:pPr>
        <w:pStyle w:val="ListParagraph"/>
        <w:numPr>
          <w:ilvl w:val="0"/>
          <w:numId w:val="10"/>
        </w:numPr>
        <w:ind w:right="503"/>
        <w:jc w:val="both"/>
      </w:pPr>
      <w:r>
        <w:t>t</w:t>
      </w:r>
      <w:r w:rsidRPr="00F75614">
        <w:t>here was no overarching contract file in existence</w:t>
      </w:r>
      <w:r>
        <w:t xml:space="preserve"> for WOI</w:t>
      </w:r>
      <w:r w:rsidRPr="00F75614">
        <w:t xml:space="preserve">, contrary to the LBWF Contractor and Relationships </w:t>
      </w:r>
      <w:r>
        <w:t>Management Guide (</w:t>
      </w:r>
      <w:r w:rsidR="00C81E1B">
        <w:t xml:space="preserve">ibid., </w:t>
      </w:r>
      <w:r>
        <w:t xml:space="preserve">p.12); and </w:t>
      </w:r>
    </w:p>
    <w:p w14:paraId="4C9230B0" w14:textId="62CA47C6" w:rsidR="00B32BC6" w:rsidRDefault="00B32BC6" w:rsidP="00B32BC6">
      <w:pPr>
        <w:pStyle w:val="ListParagraph"/>
        <w:numPr>
          <w:ilvl w:val="0"/>
          <w:numId w:val="10"/>
        </w:numPr>
        <w:ind w:right="503"/>
        <w:jc w:val="both"/>
      </w:pPr>
      <w:r>
        <w:t>though the reporting of Worknet performance to an appropriate senior officer group and/or committee on a regular basis would have strengthened monitoring and the ability to respond to problems, no such procedural linkage was in place (</w:t>
      </w:r>
      <w:r w:rsidR="00C81E1B">
        <w:t xml:space="preserve">ibid., </w:t>
      </w:r>
      <w:r>
        <w:t>p.14).</w:t>
      </w:r>
    </w:p>
    <w:p w14:paraId="107ED6CC" w14:textId="77777777" w:rsidR="00B32BC6" w:rsidRDefault="00B32BC6" w:rsidP="00B32BC6">
      <w:pPr>
        <w:pStyle w:val="ListParagraph"/>
        <w:ind w:left="1440" w:right="503"/>
        <w:jc w:val="both"/>
      </w:pPr>
    </w:p>
    <w:p w14:paraId="5E3ABAD5" w14:textId="1C008933" w:rsidR="00513AB6" w:rsidRPr="00CE6A5D" w:rsidRDefault="00CE6A5D" w:rsidP="00CE6A5D">
      <w:pPr>
        <w:pStyle w:val="ListParagraph"/>
        <w:numPr>
          <w:ilvl w:val="0"/>
          <w:numId w:val="1"/>
        </w:numPr>
        <w:jc w:val="both"/>
        <w:rPr>
          <w:b/>
        </w:rPr>
      </w:pPr>
      <w:r>
        <w:t>Finally, there has been some controversy about whether LBWF actually gained from its Worknet failures – that is use</w:t>
      </w:r>
      <w:r w:rsidR="000533F3">
        <w:t>d</w:t>
      </w:r>
      <w:r>
        <w:t xml:space="preserve"> programme underspend to fund completely different budgets</w:t>
      </w:r>
      <w:r w:rsidR="00AF7DC8">
        <w:t>, much to its advantage</w:t>
      </w:r>
      <w:r>
        <w:t>.</w:t>
      </w:r>
    </w:p>
    <w:p w14:paraId="051C23D1" w14:textId="13F6C8A7" w:rsidR="00CE6A5D" w:rsidRDefault="00795856" w:rsidP="00CE6A5D">
      <w:pPr>
        <w:pStyle w:val="ListParagraph"/>
        <w:numPr>
          <w:ilvl w:val="0"/>
          <w:numId w:val="1"/>
        </w:numPr>
        <w:jc w:val="both"/>
      </w:pPr>
      <w:r>
        <w:rPr>
          <w:b/>
        </w:rPr>
        <w:t xml:space="preserve"> </w:t>
      </w:r>
      <w:r w:rsidRPr="00795856">
        <w:t>It seems unl</w:t>
      </w:r>
      <w:r w:rsidR="000533F3">
        <w:t xml:space="preserve">ikely that such </w:t>
      </w:r>
      <w:r>
        <w:t>re-allocation</w:t>
      </w:r>
      <w:r w:rsidR="000533F3">
        <w:t xml:space="preserve"> c</w:t>
      </w:r>
      <w:r w:rsidR="00AF7DC8">
        <w:t>ould have occurred with GLA/</w:t>
      </w:r>
      <w:r w:rsidR="000533F3">
        <w:t>LDA funding, since these monies appear to have been paid in arrears, and only after monitoring of providers was completed and evidenced.</w:t>
      </w:r>
    </w:p>
    <w:p w14:paraId="7AD78991" w14:textId="3D023066" w:rsidR="000533F3" w:rsidRDefault="000533F3" w:rsidP="00CE6A5D">
      <w:pPr>
        <w:pStyle w:val="ListParagraph"/>
        <w:numPr>
          <w:ilvl w:val="0"/>
          <w:numId w:val="1"/>
        </w:numPr>
        <w:jc w:val="both"/>
      </w:pPr>
      <w:r>
        <w:t xml:space="preserve">However, in the case of the many millions of pounds received from the </w:t>
      </w:r>
      <w:r w:rsidR="00AF7DC8">
        <w:t xml:space="preserve">DWP and </w:t>
      </w:r>
      <w:r>
        <w:t>DC</w:t>
      </w:r>
      <w:r w:rsidR="00AF7DC8">
        <w:t>LG</w:t>
      </w:r>
      <w:r>
        <w:t>, it is more difficult to judge.</w:t>
      </w:r>
    </w:p>
    <w:p w14:paraId="38DCBD28" w14:textId="727EF0AF" w:rsidR="000533F3" w:rsidRDefault="000533F3" w:rsidP="00CE6A5D">
      <w:pPr>
        <w:pStyle w:val="ListParagraph"/>
        <w:numPr>
          <w:ilvl w:val="0"/>
          <w:numId w:val="1"/>
        </w:numPr>
        <w:jc w:val="both"/>
      </w:pPr>
      <w:r>
        <w:t xml:space="preserve"> </w:t>
      </w:r>
      <w:r w:rsidR="00AF7DC8">
        <w:t>For example, t</w:t>
      </w:r>
      <w:r w:rsidR="00C81E1B">
        <w:t>he Working Neighbourhoods Fund was aimed at tackling worklessness and low levels of skills and enterprise in deprived areas, and was paid out alongside money from other funding streams as part of each local authority’s Area Based Grant (ABG).</w:t>
      </w:r>
    </w:p>
    <w:p w14:paraId="1E2712FE" w14:textId="3DEEEAE3" w:rsidR="00C81E1B" w:rsidRDefault="00C81E1B" w:rsidP="00CE6A5D">
      <w:pPr>
        <w:pStyle w:val="ListParagraph"/>
        <w:numPr>
          <w:ilvl w:val="0"/>
          <w:numId w:val="1"/>
        </w:numPr>
        <w:jc w:val="both"/>
      </w:pPr>
      <w:r>
        <w:t>ABDs were not ring-fenced, so in theory there was nothing to prevent re-allocation between budgets.</w:t>
      </w:r>
    </w:p>
    <w:p w14:paraId="5C105B76" w14:textId="5E13FEAF" w:rsidR="00C81E1B" w:rsidRDefault="00C81E1B" w:rsidP="00CE6A5D">
      <w:pPr>
        <w:pStyle w:val="ListParagraph"/>
        <w:numPr>
          <w:ilvl w:val="0"/>
          <w:numId w:val="1"/>
        </w:numPr>
        <w:jc w:val="both"/>
      </w:pPr>
      <w:r>
        <w:t xml:space="preserve"> Nevertheless, DCLG guidance was that this could only occur within definite limits:</w:t>
      </w:r>
      <w:r w:rsidR="00932CAB">
        <w:t xml:space="preserve"> </w:t>
      </w:r>
    </w:p>
    <w:p w14:paraId="353FC75C" w14:textId="77777777" w:rsidR="00932CAB" w:rsidRDefault="00932CAB" w:rsidP="00932CAB">
      <w:pPr>
        <w:jc w:val="both"/>
      </w:pPr>
    </w:p>
    <w:p w14:paraId="4DFFB176" w14:textId="29381551" w:rsidR="00932CAB" w:rsidRDefault="00932CAB" w:rsidP="00932CAB">
      <w:pPr>
        <w:pStyle w:val="ListParagraph"/>
        <w:ind w:left="993" w:right="503"/>
        <w:jc w:val="both"/>
      </w:pPr>
      <w:r>
        <w:t>Local authorities, with their partners in LSPs, are free to use ABG as they see fit, provided that they can demonstrate performance against the worklessness-related targets they have agreed with Government in their Local Area Agreement (e.g. reductions in the number of claimants in the worst neighbourhoods</w:t>
      </w:r>
      <w:r w:rsidR="008666E9">
        <w:t>)</w:t>
      </w:r>
      <w:r>
        <w:t>.</w:t>
      </w:r>
      <w:r>
        <w:rPr>
          <w:rStyle w:val="FootnoteReference"/>
        </w:rPr>
        <w:footnoteReference w:id="5"/>
      </w:r>
      <w:r>
        <w:t xml:space="preserve"> </w:t>
      </w:r>
    </w:p>
    <w:p w14:paraId="0AE45FF7" w14:textId="77777777" w:rsidR="00AF7DC8" w:rsidRDefault="00AF7DC8" w:rsidP="00932CAB">
      <w:pPr>
        <w:pStyle w:val="ListParagraph"/>
        <w:ind w:left="993" w:right="503"/>
        <w:jc w:val="both"/>
      </w:pPr>
    </w:p>
    <w:p w14:paraId="42315D56" w14:textId="77777777" w:rsidR="00932CAB" w:rsidRDefault="00932CAB" w:rsidP="00932CAB">
      <w:pPr>
        <w:jc w:val="both"/>
      </w:pPr>
    </w:p>
    <w:p w14:paraId="07ED7879" w14:textId="1452C579" w:rsidR="00AF7DC8" w:rsidRDefault="00AF7DC8" w:rsidP="00932CAB">
      <w:pPr>
        <w:pStyle w:val="ListParagraph"/>
        <w:numPr>
          <w:ilvl w:val="0"/>
          <w:numId w:val="1"/>
        </w:numPr>
        <w:jc w:val="both"/>
      </w:pPr>
      <w:r>
        <w:t>LBWF’s contention appears to be that it received Working Neighb</w:t>
      </w:r>
      <w:r w:rsidR="00820E19">
        <w:t xml:space="preserve">ourhoods Fund monies and paid them into its reserves; </w:t>
      </w:r>
      <w:r w:rsidR="001400BA">
        <w:t>decided to use</w:t>
      </w:r>
      <w:r w:rsidR="00820E19">
        <w:t xml:space="preserve"> them</w:t>
      </w:r>
      <w:r w:rsidR="001400BA">
        <w:t xml:space="preserve"> to fund the Worknet programme</w:t>
      </w:r>
      <w:r>
        <w:t xml:space="preserve">; subsequently placed </w:t>
      </w:r>
      <w:r w:rsidR="001400BA">
        <w:t xml:space="preserve">provider </w:t>
      </w:r>
      <w:r>
        <w:t>underspend back into its reserves; and then used this sum either as outlined by Ms. Mustafa in p</w:t>
      </w:r>
      <w:r w:rsidR="001400BA">
        <w:t>aragraph 45, or, in the recent words of a</w:t>
      </w:r>
      <w:r>
        <w:t xml:space="preserve"> Council spokesperson, to finance ‘better performing </w:t>
      </w:r>
      <w:r w:rsidR="00BB541D">
        <w:t>programmes’</w:t>
      </w:r>
      <w:r>
        <w:t xml:space="preserve"> (</w:t>
      </w:r>
      <w:r w:rsidRPr="00AF7DC8">
        <w:rPr>
          <w:i/>
        </w:rPr>
        <w:t>Waltham Forest Guardian</w:t>
      </w:r>
      <w:r w:rsidR="00820E19">
        <w:t xml:space="preserve"> web edition,</w:t>
      </w:r>
      <w:r>
        <w:t xml:space="preserve"> 7 June 2013).</w:t>
      </w:r>
    </w:p>
    <w:p w14:paraId="473199B4" w14:textId="1E583C7F" w:rsidR="00932CAB" w:rsidRDefault="001400BA" w:rsidP="00AF7DC8">
      <w:pPr>
        <w:pStyle w:val="ListParagraph"/>
        <w:numPr>
          <w:ilvl w:val="0"/>
          <w:numId w:val="1"/>
        </w:numPr>
        <w:jc w:val="both"/>
      </w:pPr>
      <w:r>
        <w:t>Needless to say, w</w:t>
      </w:r>
      <w:r w:rsidR="00AF7DC8">
        <w:t>hether or not this can be substantiated remains to be seen</w:t>
      </w:r>
      <w:r w:rsidR="00932CAB">
        <w:t>.</w:t>
      </w:r>
    </w:p>
    <w:p w14:paraId="22C870AA" w14:textId="77777777" w:rsidR="00F75614" w:rsidRDefault="00F75614" w:rsidP="00932CAB">
      <w:pPr>
        <w:jc w:val="both"/>
      </w:pPr>
    </w:p>
    <w:p w14:paraId="68D5B599" w14:textId="7D79BF2B" w:rsidR="00932CAB" w:rsidRDefault="009F5224" w:rsidP="00932CAB">
      <w:pPr>
        <w:jc w:val="both"/>
      </w:pPr>
      <w:r>
        <w:t>NT</w:t>
      </w:r>
    </w:p>
    <w:p w14:paraId="6F03BD15" w14:textId="3A9F7FC8" w:rsidR="009F5224" w:rsidRDefault="009F5224" w:rsidP="00932CAB">
      <w:pPr>
        <w:jc w:val="both"/>
      </w:pPr>
      <w:r>
        <w:t>09/07/13</w:t>
      </w:r>
    </w:p>
    <w:p w14:paraId="69A4966E" w14:textId="77777777" w:rsidR="00932CAB" w:rsidRDefault="00932CAB" w:rsidP="00932CAB">
      <w:pPr>
        <w:jc w:val="both"/>
      </w:pPr>
    </w:p>
    <w:p w14:paraId="74445119" w14:textId="77777777" w:rsidR="009F5224" w:rsidRDefault="009F5224" w:rsidP="00932CAB">
      <w:pPr>
        <w:jc w:val="both"/>
      </w:pPr>
    </w:p>
    <w:p w14:paraId="7BE8156E" w14:textId="77777777" w:rsidR="009F5224" w:rsidRDefault="009F5224" w:rsidP="00932CAB">
      <w:pPr>
        <w:jc w:val="both"/>
      </w:pPr>
    </w:p>
    <w:p w14:paraId="118B05CA" w14:textId="77777777" w:rsidR="009F5224" w:rsidRDefault="009F5224" w:rsidP="00932CAB">
      <w:pPr>
        <w:jc w:val="both"/>
      </w:pPr>
    </w:p>
    <w:p w14:paraId="1D69CE5B" w14:textId="77777777" w:rsidR="009F5224" w:rsidRDefault="009F5224" w:rsidP="00932CAB">
      <w:pPr>
        <w:jc w:val="both"/>
      </w:pPr>
    </w:p>
    <w:p w14:paraId="7F1E46D5" w14:textId="77777777" w:rsidR="009F5224" w:rsidRDefault="009F5224" w:rsidP="00932CAB">
      <w:pPr>
        <w:jc w:val="both"/>
      </w:pPr>
    </w:p>
    <w:p w14:paraId="4790480C" w14:textId="77777777" w:rsidR="009F5224" w:rsidRDefault="009F5224" w:rsidP="00932CAB">
      <w:pPr>
        <w:jc w:val="both"/>
      </w:pPr>
    </w:p>
    <w:p w14:paraId="0528D924" w14:textId="77777777" w:rsidR="009F5224" w:rsidRDefault="009F5224" w:rsidP="00932CAB">
      <w:pPr>
        <w:jc w:val="both"/>
      </w:pPr>
    </w:p>
    <w:p w14:paraId="0B1EF952" w14:textId="77777777" w:rsidR="009F5224" w:rsidRDefault="009F5224" w:rsidP="00932CAB">
      <w:pPr>
        <w:jc w:val="both"/>
      </w:pPr>
    </w:p>
    <w:p w14:paraId="3E4F7DF4" w14:textId="77777777" w:rsidR="009F5224" w:rsidRDefault="009F5224" w:rsidP="00932CAB">
      <w:pPr>
        <w:jc w:val="both"/>
      </w:pPr>
    </w:p>
    <w:p w14:paraId="0A9FD834" w14:textId="77777777" w:rsidR="009F5224" w:rsidRDefault="009F5224" w:rsidP="00932CAB">
      <w:pPr>
        <w:jc w:val="both"/>
      </w:pPr>
    </w:p>
    <w:p w14:paraId="3135FF36" w14:textId="77777777" w:rsidR="009F5224" w:rsidRDefault="009F5224" w:rsidP="00932CAB">
      <w:pPr>
        <w:jc w:val="both"/>
      </w:pPr>
    </w:p>
    <w:p w14:paraId="7F8C768E" w14:textId="77777777" w:rsidR="009F5224" w:rsidRDefault="009F5224" w:rsidP="00932CAB">
      <w:pPr>
        <w:jc w:val="both"/>
      </w:pPr>
    </w:p>
    <w:p w14:paraId="4AAD31C7" w14:textId="77777777" w:rsidR="009F5224" w:rsidRDefault="009F5224" w:rsidP="00932CAB">
      <w:pPr>
        <w:jc w:val="both"/>
      </w:pPr>
    </w:p>
    <w:p w14:paraId="715B736F" w14:textId="77777777" w:rsidR="009F5224" w:rsidRDefault="009F5224" w:rsidP="00932CAB">
      <w:pPr>
        <w:jc w:val="both"/>
      </w:pPr>
    </w:p>
    <w:p w14:paraId="5C6868DA" w14:textId="77777777" w:rsidR="009F5224" w:rsidRDefault="009F5224" w:rsidP="00932CAB">
      <w:pPr>
        <w:jc w:val="both"/>
      </w:pPr>
    </w:p>
    <w:p w14:paraId="2C8B5308" w14:textId="77777777" w:rsidR="009F5224" w:rsidRDefault="009F5224" w:rsidP="00932CAB">
      <w:pPr>
        <w:jc w:val="both"/>
      </w:pPr>
    </w:p>
    <w:p w14:paraId="77FD1998" w14:textId="77777777" w:rsidR="009F5224" w:rsidRDefault="009F5224" w:rsidP="00932CAB">
      <w:pPr>
        <w:jc w:val="both"/>
      </w:pPr>
    </w:p>
    <w:p w14:paraId="43CBC532" w14:textId="77777777" w:rsidR="009F5224" w:rsidRDefault="009F5224" w:rsidP="00932CAB">
      <w:pPr>
        <w:jc w:val="both"/>
      </w:pPr>
    </w:p>
    <w:p w14:paraId="7B58D512" w14:textId="77777777" w:rsidR="009F5224" w:rsidRDefault="009F5224" w:rsidP="00932CAB">
      <w:pPr>
        <w:jc w:val="both"/>
      </w:pPr>
    </w:p>
    <w:p w14:paraId="19F2FF70" w14:textId="77777777" w:rsidR="009F5224" w:rsidRDefault="009F5224" w:rsidP="00932CAB">
      <w:pPr>
        <w:jc w:val="both"/>
      </w:pPr>
    </w:p>
    <w:p w14:paraId="1A3E34BF" w14:textId="77777777" w:rsidR="009F5224" w:rsidRDefault="009F5224" w:rsidP="00932CAB">
      <w:pPr>
        <w:jc w:val="both"/>
      </w:pPr>
    </w:p>
    <w:p w14:paraId="5F7A3AAF" w14:textId="77777777" w:rsidR="009F5224" w:rsidRDefault="009F5224" w:rsidP="00932CAB">
      <w:pPr>
        <w:jc w:val="both"/>
      </w:pPr>
    </w:p>
    <w:p w14:paraId="6F2A275C" w14:textId="77777777" w:rsidR="009F5224" w:rsidRDefault="009F5224" w:rsidP="00932CAB">
      <w:pPr>
        <w:jc w:val="both"/>
      </w:pPr>
    </w:p>
    <w:p w14:paraId="3F34E1D1" w14:textId="77777777" w:rsidR="009F5224" w:rsidRDefault="009F5224" w:rsidP="00932CAB">
      <w:pPr>
        <w:jc w:val="both"/>
      </w:pPr>
    </w:p>
    <w:p w14:paraId="6AC7F041" w14:textId="77777777" w:rsidR="009F5224" w:rsidRDefault="009F5224" w:rsidP="00932CAB">
      <w:pPr>
        <w:jc w:val="both"/>
      </w:pPr>
    </w:p>
    <w:p w14:paraId="1358EBF2" w14:textId="77777777" w:rsidR="009F5224" w:rsidRDefault="009F5224" w:rsidP="00932CAB">
      <w:pPr>
        <w:jc w:val="both"/>
      </w:pPr>
    </w:p>
    <w:p w14:paraId="55605FFB" w14:textId="77777777" w:rsidR="009F5224" w:rsidRDefault="009F5224" w:rsidP="00932CAB">
      <w:pPr>
        <w:jc w:val="both"/>
      </w:pPr>
    </w:p>
    <w:p w14:paraId="6D4EFB72" w14:textId="77777777" w:rsidR="009F5224" w:rsidRDefault="009F5224" w:rsidP="00932CAB">
      <w:pPr>
        <w:jc w:val="both"/>
      </w:pPr>
    </w:p>
    <w:p w14:paraId="0A112766" w14:textId="77777777" w:rsidR="009F5224" w:rsidRDefault="009F5224" w:rsidP="00932CAB">
      <w:pPr>
        <w:jc w:val="both"/>
      </w:pPr>
    </w:p>
    <w:p w14:paraId="4F212595" w14:textId="77777777" w:rsidR="009F5224" w:rsidRDefault="009F5224" w:rsidP="00932CAB">
      <w:pPr>
        <w:jc w:val="both"/>
      </w:pPr>
    </w:p>
    <w:p w14:paraId="45ABA171" w14:textId="77777777" w:rsidR="009F5224" w:rsidRDefault="009F5224" w:rsidP="00932CAB">
      <w:pPr>
        <w:jc w:val="both"/>
      </w:pPr>
    </w:p>
    <w:p w14:paraId="645D3D7F" w14:textId="77777777" w:rsidR="009F5224" w:rsidRDefault="009F5224" w:rsidP="00932CAB">
      <w:pPr>
        <w:jc w:val="both"/>
      </w:pPr>
    </w:p>
    <w:p w14:paraId="680D1BFB" w14:textId="77777777" w:rsidR="009F5224" w:rsidRDefault="009F5224" w:rsidP="00932CAB">
      <w:pPr>
        <w:jc w:val="both"/>
      </w:pPr>
    </w:p>
    <w:p w14:paraId="59F76D22" w14:textId="77777777" w:rsidR="009F5224" w:rsidRDefault="009F5224" w:rsidP="00932CAB">
      <w:pPr>
        <w:jc w:val="both"/>
      </w:pPr>
    </w:p>
    <w:p w14:paraId="6871C0F1" w14:textId="77777777" w:rsidR="009F5224" w:rsidRPr="00932CAB" w:rsidRDefault="009F5224" w:rsidP="00932CAB">
      <w:pPr>
        <w:jc w:val="both"/>
      </w:pPr>
    </w:p>
    <w:p w14:paraId="0F303D16" w14:textId="77777777" w:rsidR="00513AB6" w:rsidRDefault="00513AB6" w:rsidP="000533F3">
      <w:pPr>
        <w:rPr>
          <w:b/>
        </w:rPr>
      </w:pPr>
    </w:p>
    <w:p w14:paraId="32E2CBDA" w14:textId="78B61FB1" w:rsidR="00273D7D" w:rsidRPr="00C222A9" w:rsidRDefault="00273D7D" w:rsidP="00273D7D">
      <w:pPr>
        <w:jc w:val="center"/>
        <w:rPr>
          <w:b/>
        </w:rPr>
      </w:pPr>
      <w:r>
        <w:rPr>
          <w:b/>
        </w:rPr>
        <w:t xml:space="preserve">Appendix One: </w:t>
      </w:r>
      <w:r w:rsidRPr="00C222A9">
        <w:rPr>
          <w:b/>
        </w:rPr>
        <w:t>Reed’s ‘Specialist job brokerage and empl</w:t>
      </w:r>
      <w:r>
        <w:rPr>
          <w:b/>
        </w:rPr>
        <w:t xml:space="preserve">oyment support’ </w:t>
      </w:r>
      <w:r w:rsidRPr="00C222A9">
        <w:rPr>
          <w:b/>
        </w:rPr>
        <w:t>contract</w:t>
      </w:r>
    </w:p>
    <w:p w14:paraId="41B326AA" w14:textId="77777777" w:rsidR="00273D7D" w:rsidRDefault="00273D7D" w:rsidP="00273D7D">
      <w:pPr>
        <w:jc w:val="center"/>
        <w:rPr>
          <w:b/>
        </w:rPr>
      </w:pPr>
    </w:p>
    <w:p w14:paraId="10DF11A4" w14:textId="77777777" w:rsidR="00273D7D" w:rsidRDefault="00273D7D" w:rsidP="00273D7D">
      <w:pPr>
        <w:jc w:val="center"/>
        <w:rPr>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615"/>
        <w:gridCol w:w="601"/>
        <w:gridCol w:w="616"/>
        <w:gridCol w:w="602"/>
        <w:gridCol w:w="616"/>
        <w:gridCol w:w="602"/>
        <w:gridCol w:w="616"/>
        <w:gridCol w:w="690"/>
        <w:gridCol w:w="709"/>
        <w:gridCol w:w="709"/>
        <w:gridCol w:w="708"/>
        <w:gridCol w:w="709"/>
      </w:tblGrid>
      <w:tr w:rsidR="00273D7D" w:rsidRPr="00D600DE" w14:paraId="6FD341F5" w14:textId="77777777" w:rsidTr="00E57E64">
        <w:tc>
          <w:tcPr>
            <w:tcW w:w="962" w:type="dxa"/>
            <w:shd w:val="clear" w:color="auto" w:fill="auto"/>
          </w:tcPr>
          <w:p w14:paraId="58B477CD" w14:textId="77777777" w:rsidR="00273D7D" w:rsidRPr="00D600DE" w:rsidRDefault="00273D7D" w:rsidP="00273D7D">
            <w:pPr>
              <w:jc w:val="center"/>
              <w:rPr>
                <w:b/>
              </w:rPr>
            </w:pPr>
          </w:p>
        </w:tc>
        <w:tc>
          <w:tcPr>
            <w:tcW w:w="615" w:type="dxa"/>
            <w:shd w:val="clear" w:color="auto" w:fill="auto"/>
          </w:tcPr>
          <w:p w14:paraId="7DEACA8C" w14:textId="77777777" w:rsidR="00273D7D" w:rsidRDefault="00273D7D" w:rsidP="00273D7D">
            <w:pPr>
              <w:jc w:val="center"/>
              <w:rPr>
                <w:color w:val="FF0000"/>
              </w:rPr>
            </w:pPr>
            <w:r w:rsidRPr="008B49D8">
              <w:rPr>
                <w:color w:val="FF0000"/>
              </w:rPr>
              <w:t>20</w:t>
            </w:r>
          </w:p>
          <w:p w14:paraId="1E64C84B" w14:textId="336969CD" w:rsidR="00273D7D" w:rsidRPr="008B49D8" w:rsidRDefault="00273D7D" w:rsidP="00273D7D">
            <w:pPr>
              <w:jc w:val="center"/>
              <w:rPr>
                <w:color w:val="FF0000"/>
              </w:rPr>
            </w:pPr>
            <w:r w:rsidRPr="008B49D8">
              <w:rPr>
                <w:color w:val="FF0000"/>
              </w:rPr>
              <w:t>11-12</w:t>
            </w:r>
          </w:p>
        </w:tc>
        <w:tc>
          <w:tcPr>
            <w:tcW w:w="601" w:type="dxa"/>
            <w:shd w:val="clear" w:color="auto" w:fill="auto"/>
          </w:tcPr>
          <w:p w14:paraId="1B64B067" w14:textId="77777777" w:rsidR="00273D7D" w:rsidRPr="008B49D8" w:rsidRDefault="00273D7D" w:rsidP="00273D7D">
            <w:pPr>
              <w:jc w:val="center"/>
              <w:rPr>
                <w:color w:val="FF0000"/>
              </w:rPr>
            </w:pPr>
            <w:r w:rsidRPr="008B49D8">
              <w:rPr>
                <w:color w:val="FF0000"/>
              </w:rPr>
              <w:t>2011-12</w:t>
            </w:r>
          </w:p>
        </w:tc>
        <w:tc>
          <w:tcPr>
            <w:tcW w:w="616" w:type="dxa"/>
            <w:shd w:val="clear" w:color="auto" w:fill="auto"/>
          </w:tcPr>
          <w:p w14:paraId="6E0CAA92" w14:textId="77777777" w:rsidR="00273D7D" w:rsidRDefault="00273D7D" w:rsidP="00273D7D">
            <w:pPr>
              <w:jc w:val="center"/>
              <w:rPr>
                <w:color w:val="FF0000"/>
              </w:rPr>
            </w:pPr>
            <w:r w:rsidRPr="008B49D8">
              <w:rPr>
                <w:color w:val="FF0000"/>
              </w:rPr>
              <w:t>20</w:t>
            </w:r>
          </w:p>
          <w:p w14:paraId="00D01A04" w14:textId="76F89FB7" w:rsidR="00273D7D" w:rsidRPr="008B49D8" w:rsidRDefault="00273D7D" w:rsidP="00273D7D">
            <w:pPr>
              <w:jc w:val="center"/>
              <w:rPr>
                <w:color w:val="FF0000"/>
              </w:rPr>
            </w:pPr>
            <w:r w:rsidRPr="008B49D8">
              <w:rPr>
                <w:color w:val="FF0000"/>
              </w:rPr>
              <w:t>11-12</w:t>
            </w:r>
          </w:p>
        </w:tc>
        <w:tc>
          <w:tcPr>
            <w:tcW w:w="602" w:type="dxa"/>
            <w:shd w:val="clear" w:color="auto" w:fill="auto"/>
          </w:tcPr>
          <w:p w14:paraId="4A82C094" w14:textId="77777777" w:rsidR="00273D7D" w:rsidRPr="008B49D8" w:rsidRDefault="00273D7D" w:rsidP="00273D7D">
            <w:pPr>
              <w:jc w:val="center"/>
              <w:rPr>
                <w:color w:val="FF0000"/>
              </w:rPr>
            </w:pPr>
            <w:r w:rsidRPr="008B49D8">
              <w:rPr>
                <w:color w:val="FF0000"/>
              </w:rPr>
              <w:t>2011-12</w:t>
            </w:r>
          </w:p>
        </w:tc>
        <w:tc>
          <w:tcPr>
            <w:tcW w:w="616" w:type="dxa"/>
            <w:shd w:val="clear" w:color="auto" w:fill="auto"/>
          </w:tcPr>
          <w:p w14:paraId="3B143946" w14:textId="77777777" w:rsidR="00273D7D" w:rsidRDefault="00273D7D" w:rsidP="00273D7D">
            <w:pPr>
              <w:jc w:val="center"/>
            </w:pPr>
            <w:r w:rsidRPr="00D600DE">
              <w:t>20</w:t>
            </w:r>
          </w:p>
          <w:p w14:paraId="1522BF4B" w14:textId="11E60DC5" w:rsidR="00273D7D" w:rsidRPr="00D600DE" w:rsidRDefault="00273D7D" w:rsidP="00273D7D">
            <w:pPr>
              <w:jc w:val="center"/>
            </w:pPr>
            <w:r w:rsidRPr="00D600DE">
              <w:t>12-13</w:t>
            </w:r>
          </w:p>
        </w:tc>
        <w:tc>
          <w:tcPr>
            <w:tcW w:w="602" w:type="dxa"/>
            <w:shd w:val="clear" w:color="auto" w:fill="auto"/>
          </w:tcPr>
          <w:p w14:paraId="711150CC" w14:textId="77777777" w:rsidR="00273D7D" w:rsidRPr="00D600DE" w:rsidRDefault="00273D7D" w:rsidP="00273D7D">
            <w:pPr>
              <w:jc w:val="center"/>
            </w:pPr>
            <w:r w:rsidRPr="00D600DE">
              <w:t>2012-13</w:t>
            </w:r>
          </w:p>
        </w:tc>
        <w:tc>
          <w:tcPr>
            <w:tcW w:w="616" w:type="dxa"/>
            <w:shd w:val="clear" w:color="auto" w:fill="auto"/>
          </w:tcPr>
          <w:p w14:paraId="41AB0227" w14:textId="77777777" w:rsidR="00273D7D" w:rsidRDefault="00273D7D" w:rsidP="00273D7D">
            <w:pPr>
              <w:jc w:val="center"/>
            </w:pPr>
            <w:r w:rsidRPr="00D600DE">
              <w:t>20</w:t>
            </w:r>
          </w:p>
          <w:p w14:paraId="405596EC" w14:textId="587E65DD" w:rsidR="00273D7D" w:rsidRPr="00D600DE" w:rsidRDefault="00273D7D" w:rsidP="00273D7D">
            <w:pPr>
              <w:jc w:val="center"/>
            </w:pPr>
            <w:r w:rsidRPr="00D600DE">
              <w:t>12-13</w:t>
            </w:r>
          </w:p>
        </w:tc>
        <w:tc>
          <w:tcPr>
            <w:tcW w:w="690" w:type="dxa"/>
            <w:shd w:val="clear" w:color="auto" w:fill="auto"/>
          </w:tcPr>
          <w:p w14:paraId="2E8BBC78" w14:textId="77777777" w:rsidR="00273D7D" w:rsidRPr="00D600DE" w:rsidRDefault="00273D7D" w:rsidP="00273D7D">
            <w:pPr>
              <w:jc w:val="center"/>
            </w:pPr>
            <w:r w:rsidRPr="00D600DE">
              <w:t>2012-13</w:t>
            </w:r>
          </w:p>
        </w:tc>
        <w:tc>
          <w:tcPr>
            <w:tcW w:w="709" w:type="dxa"/>
            <w:shd w:val="clear" w:color="auto" w:fill="auto"/>
          </w:tcPr>
          <w:p w14:paraId="0416A502" w14:textId="77777777" w:rsidR="00273D7D" w:rsidRDefault="00273D7D" w:rsidP="00273D7D">
            <w:pPr>
              <w:jc w:val="center"/>
            </w:pPr>
            <w:r w:rsidRPr="00D600DE">
              <w:t>20</w:t>
            </w:r>
          </w:p>
          <w:p w14:paraId="41CA0E2D" w14:textId="73C4E968" w:rsidR="00273D7D" w:rsidRPr="00D600DE" w:rsidRDefault="00273D7D" w:rsidP="00273D7D">
            <w:pPr>
              <w:jc w:val="center"/>
            </w:pPr>
            <w:r w:rsidRPr="00D600DE">
              <w:t>12-13</w:t>
            </w:r>
          </w:p>
          <w:p w14:paraId="7F8EB23B" w14:textId="77777777" w:rsidR="00273D7D" w:rsidRPr="00D600DE" w:rsidRDefault="00273D7D" w:rsidP="00273D7D">
            <w:pPr>
              <w:jc w:val="center"/>
            </w:pPr>
          </w:p>
        </w:tc>
        <w:tc>
          <w:tcPr>
            <w:tcW w:w="709" w:type="dxa"/>
            <w:shd w:val="clear" w:color="auto" w:fill="auto"/>
          </w:tcPr>
          <w:p w14:paraId="643B3703" w14:textId="77777777" w:rsidR="00273D7D" w:rsidRDefault="00273D7D" w:rsidP="00273D7D">
            <w:pPr>
              <w:jc w:val="center"/>
            </w:pPr>
            <w:r w:rsidRPr="00D600DE">
              <w:t>20</w:t>
            </w:r>
          </w:p>
          <w:p w14:paraId="20587221" w14:textId="4EBA4E39" w:rsidR="00273D7D" w:rsidRPr="00D600DE" w:rsidRDefault="00273D7D" w:rsidP="00273D7D">
            <w:pPr>
              <w:jc w:val="center"/>
            </w:pPr>
            <w:r w:rsidRPr="00D600DE">
              <w:t>12-13</w:t>
            </w:r>
          </w:p>
        </w:tc>
        <w:tc>
          <w:tcPr>
            <w:tcW w:w="708" w:type="dxa"/>
            <w:shd w:val="clear" w:color="auto" w:fill="auto"/>
          </w:tcPr>
          <w:p w14:paraId="5C57BC45" w14:textId="77777777" w:rsidR="00273D7D" w:rsidRDefault="00273D7D" w:rsidP="00273D7D">
            <w:pPr>
              <w:jc w:val="center"/>
            </w:pPr>
            <w:r w:rsidRPr="00D600DE">
              <w:t>20</w:t>
            </w:r>
          </w:p>
          <w:p w14:paraId="7C1F16A7" w14:textId="2CDE7B8F" w:rsidR="00273D7D" w:rsidRPr="00D600DE" w:rsidRDefault="00273D7D" w:rsidP="00273D7D">
            <w:pPr>
              <w:jc w:val="center"/>
            </w:pPr>
            <w:r w:rsidRPr="00D600DE">
              <w:t>11-13</w:t>
            </w:r>
          </w:p>
        </w:tc>
        <w:tc>
          <w:tcPr>
            <w:tcW w:w="709" w:type="dxa"/>
            <w:shd w:val="clear" w:color="auto" w:fill="auto"/>
          </w:tcPr>
          <w:p w14:paraId="6E36E447" w14:textId="77777777" w:rsidR="00273D7D" w:rsidRDefault="00273D7D" w:rsidP="00273D7D">
            <w:pPr>
              <w:jc w:val="center"/>
            </w:pPr>
            <w:r w:rsidRPr="00D600DE">
              <w:t>20</w:t>
            </w:r>
          </w:p>
          <w:p w14:paraId="4FB50D7D" w14:textId="4AE074FF" w:rsidR="00273D7D" w:rsidRPr="00D600DE" w:rsidRDefault="00273D7D" w:rsidP="00273D7D">
            <w:pPr>
              <w:jc w:val="center"/>
            </w:pPr>
            <w:r w:rsidRPr="00D600DE">
              <w:t>11-13</w:t>
            </w:r>
          </w:p>
        </w:tc>
      </w:tr>
      <w:tr w:rsidR="00273D7D" w:rsidRPr="00D600DE" w14:paraId="5B296235" w14:textId="77777777" w:rsidTr="00E57E64">
        <w:tc>
          <w:tcPr>
            <w:tcW w:w="962" w:type="dxa"/>
            <w:shd w:val="clear" w:color="auto" w:fill="auto"/>
          </w:tcPr>
          <w:p w14:paraId="16965422" w14:textId="77777777" w:rsidR="00273D7D" w:rsidRPr="00D600DE" w:rsidRDefault="00273D7D" w:rsidP="00273D7D">
            <w:pPr>
              <w:jc w:val="center"/>
              <w:rPr>
                <w:b/>
              </w:rPr>
            </w:pPr>
          </w:p>
        </w:tc>
        <w:tc>
          <w:tcPr>
            <w:tcW w:w="615" w:type="dxa"/>
            <w:shd w:val="clear" w:color="auto" w:fill="auto"/>
          </w:tcPr>
          <w:p w14:paraId="20266735" w14:textId="77777777" w:rsidR="00273D7D" w:rsidRPr="008B49D8" w:rsidRDefault="00273D7D" w:rsidP="00273D7D">
            <w:pPr>
              <w:jc w:val="center"/>
              <w:rPr>
                <w:color w:val="FF0000"/>
              </w:rPr>
            </w:pPr>
            <w:r w:rsidRPr="008B49D8">
              <w:rPr>
                <w:color w:val="FF0000"/>
              </w:rPr>
              <w:t>Q3</w:t>
            </w:r>
          </w:p>
        </w:tc>
        <w:tc>
          <w:tcPr>
            <w:tcW w:w="601" w:type="dxa"/>
            <w:shd w:val="clear" w:color="auto" w:fill="auto"/>
          </w:tcPr>
          <w:p w14:paraId="7C522156" w14:textId="77777777" w:rsidR="00273D7D" w:rsidRPr="008B49D8" w:rsidRDefault="00273D7D" w:rsidP="00273D7D">
            <w:pPr>
              <w:jc w:val="center"/>
              <w:rPr>
                <w:color w:val="FF0000"/>
              </w:rPr>
            </w:pPr>
            <w:r w:rsidRPr="008B49D8">
              <w:rPr>
                <w:color w:val="FF0000"/>
              </w:rPr>
              <w:t>Q3</w:t>
            </w:r>
          </w:p>
        </w:tc>
        <w:tc>
          <w:tcPr>
            <w:tcW w:w="616" w:type="dxa"/>
            <w:shd w:val="clear" w:color="auto" w:fill="auto"/>
          </w:tcPr>
          <w:p w14:paraId="75D5CC36" w14:textId="77777777" w:rsidR="00273D7D" w:rsidRPr="008B49D8" w:rsidRDefault="00273D7D" w:rsidP="00273D7D">
            <w:pPr>
              <w:jc w:val="center"/>
              <w:rPr>
                <w:color w:val="FF0000"/>
              </w:rPr>
            </w:pPr>
            <w:r w:rsidRPr="008B49D8">
              <w:rPr>
                <w:color w:val="FF0000"/>
              </w:rPr>
              <w:t>Q4</w:t>
            </w:r>
          </w:p>
        </w:tc>
        <w:tc>
          <w:tcPr>
            <w:tcW w:w="602" w:type="dxa"/>
            <w:shd w:val="clear" w:color="auto" w:fill="auto"/>
          </w:tcPr>
          <w:p w14:paraId="26082A15" w14:textId="77777777" w:rsidR="00273D7D" w:rsidRPr="008B49D8" w:rsidRDefault="00273D7D" w:rsidP="00273D7D">
            <w:pPr>
              <w:jc w:val="center"/>
              <w:rPr>
                <w:color w:val="FF0000"/>
              </w:rPr>
            </w:pPr>
            <w:r w:rsidRPr="008B49D8">
              <w:rPr>
                <w:color w:val="FF0000"/>
              </w:rPr>
              <w:t>Q4</w:t>
            </w:r>
          </w:p>
        </w:tc>
        <w:tc>
          <w:tcPr>
            <w:tcW w:w="616" w:type="dxa"/>
            <w:shd w:val="clear" w:color="auto" w:fill="auto"/>
          </w:tcPr>
          <w:p w14:paraId="224321DA" w14:textId="77777777" w:rsidR="00273D7D" w:rsidRPr="00D600DE" w:rsidRDefault="00273D7D" w:rsidP="00273D7D">
            <w:pPr>
              <w:jc w:val="center"/>
            </w:pPr>
            <w:r w:rsidRPr="00D600DE">
              <w:t>Q1</w:t>
            </w:r>
          </w:p>
        </w:tc>
        <w:tc>
          <w:tcPr>
            <w:tcW w:w="602" w:type="dxa"/>
            <w:shd w:val="clear" w:color="auto" w:fill="auto"/>
          </w:tcPr>
          <w:p w14:paraId="047660D8" w14:textId="77777777" w:rsidR="00273D7D" w:rsidRPr="00D600DE" w:rsidRDefault="00273D7D" w:rsidP="00273D7D">
            <w:pPr>
              <w:jc w:val="center"/>
            </w:pPr>
            <w:r w:rsidRPr="00D600DE">
              <w:t>Q1</w:t>
            </w:r>
          </w:p>
        </w:tc>
        <w:tc>
          <w:tcPr>
            <w:tcW w:w="616" w:type="dxa"/>
            <w:shd w:val="clear" w:color="auto" w:fill="auto"/>
          </w:tcPr>
          <w:p w14:paraId="4C6DFE3B" w14:textId="77777777" w:rsidR="00273D7D" w:rsidRPr="00D600DE" w:rsidRDefault="00273D7D" w:rsidP="00273D7D">
            <w:pPr>
              <w:jc w:val="center"/>
            </w:pPr>
            <w:r w:rsidRPr="00D600DE">
              <w:t>Q2</w:t>
            </w:r>
          </w:p>
        </w:tc>
        <w:tc>
          <w:tcPr>
            <w:tcW w:w="690" w:type="dxa"/>
            <w:shd w:val="clear" w:color="auto" w:fill="auto"/>
          </w:tcPr>
          <w:p w14:paraId="32BF0D61" w14:textId="77777777" w:rsidR="00273D7D" w:rsidRPr="00D600DE" w:rsidRDefault="00273D7D" w:rsidP="00273D7D">
            <w:pPr>
              <w:jc w:val="center"/>
            </w:pPr>
            <w:r w:rsidRPr="00D600DE">
              <w:t>Q2</w:t>
            </w:r>
          </w:p>
        </w:tc>
        <w:tc>
          <w:tcPr>
            <w:tcW w:w="709" w:type="dxa"/>
            <w:shd w:val="clear" w:color="auto" w:fill="auto"/>
          </w:tcPr>
          <w:p w14:paraId="667103F3" w14:textId="77777777" w:rsidR="00273D7D" w:rsidRPr="00D600DE" w:rsidRDefault="00273D7D" w:rsidP="00273D7D">
            <w:pPr>
              <w:jc w:val="center"/>
            </w:pPr>
            <w:r w:rsidRPr="00D600DE">
              <w:t>Q3 to October</w:t>
            </w:r>
          </w:p>
        </w:tc>
        <w:tc>
          <w:tcPr>
            <w:tcW w:w="709" w:type="dxa"/>
            <w:shd w:val="clear" w:color="auto" w:fill="auto"/>
          </w:tcPr>
          <w:p w14:paraId="18B16695" w14:textId="77777777" w:rsidR="00273D7D" w:rsidRPr="00D600DE" w:rsidRDefault="00273D7D" w:rsidP="00273D7D">
            <w:pPr>
              <w:jc w:val="center"/>
            </w:pPr>
            <w:r w:rsidRPr="00D600DE">
              <w:t>Q3 to October</w:t>
            </w:r>
          </w:p>
        </w:tc>
        <w:tc>
          <w:tcPr>
            <w:tcW w:w="708" w:type="dxa"/>
            <w:shd w:val="clear" w:color="auto" w:fill="auto"/>
          </w:tcPr>
          <w:p w14:paraId="68B92BC8" w14:textId="77777777" w:rsidR="00273D7D" w:rsidRPr="00D600DE" w:rsidRDefault="00273D7D" w:rsidP="00273D7D">
            <w:pPr>
              <w:jc w:val="center"/>
            </w:pPr>
            <w:r w:rsidRPr="00D600DE">
              <w:t>All</w:t>
            </w:r>
          </w:p>
        </w:tc>
        <w:tc>
          <w:tcPr>
            <w:tcW w:w="709" w:type="dxa"/>
            <w:shd w:val="clear" w:color="auto" w:fill="auto"/>
          </w:tcPr>
          <w:p w14:paraId="22D186B4" w14:textId="77777777" w:rsidR="00273D7D" w:rsidRPr="00D600DE" w:rsidRDefault="00273D7D" w:rsidP="00273D7D">
            <w:pPr>
              <w:jc w:val="center"/>
            </w:pPr>
            <w:r w:rsidRPr="00D600DE">
              <w:t>All</w:t>
            </w:r>
          </w:p>
        </w:tc>
      </w:tr>
      <w:tr w:rsidR="00273D7D" w:rsidRPr="00D600DE" w14:paraId="2A8F4FBC" w14:textId="77777777" w:rsidTr="00E57E64">
        <w:tc>
          <w:tcPr>
            <w:tcW w:w="962" w:type="dxa"/>
            <w:shd w:val="clear" w:color="auto" w:fill="auto"/>
          </w:tcPr>
          <w:p w14:paraId="5DA97BA5" w14:textId="77777777" w:rsidR="00273D7D" w:rsidRPr="00D600DE" w:rsidRDefault="00273D7D" w:rsidP="00273D7D">
            <w:pPr>
              <w:jc w:val="center"/>
            </w:pPr>
          </w:p>
        </w:tc>
        <w:tc>
          <w:tcPr>
            <w:tcW w:w="615" w:type="dxa"/>
            <w:shd w:val="clear" w:color="auto" w:fill="auto"/>
          </w:tcPr>
          <w:p w14:paraId="49F95477" w14:textId="47D138FE" w:rsidR="00273D7D" w:rsidRPr="008B49D8" w:rsidRDefault="00273D7D" w:rsidP="00273D7D">
            <w:pPr>
              <w:jc w:val="center"/>
              <w:rPr>
                <w:color w:val="FF0000"/>
              </w:rPr>
            </w:pPr>
            <w:r w:rsidRPr="008B49D8">
              <w:rPr>
                <w:color w:val="FF0000"/>
              </w:rPr>
              <w:t>Target</w:t>
            </w:r>
          </w:p>
        </w:tc>
        <w:tc>
          <w:tcPr>
            <w:tcW w:w="601" w:type="dxa"/>
            <w:shd w:val="clear" w:color="auto" w:fill="auto"/>
          </w:tcPr>
          <w:p w14:paraId="7D2A25CE" w14:textId="62F931D2" w:rsidR="00273D7D" w:rsidRPr="008B49D8" w:rsidRDefault="00273D7D" w:rsidP="00273D7D">
            <w:pPr>
              <w:jc w:val="center"/>
              <w:rPr>
                <w:color w:val="FF0000"/>
              </w:rPr>
            </w:pPr>
            <w:r w:rsidRPr="008B49D8">
              <w:rPr>
                <w:color w:val="FF0000"/>
              </w:rPr>
              <w:t>Actual</w:t>
            </w:r>
          </w:p>
        </w:tc>
        <w:tc>
          <w:tcPr>
            <w:tcW w:w="616" w:type="dxa"/>
            <w:shd w:val="clear" w:color="auto" w:fill="auto"/>
          </w:tcPr>
          <w:p w14:paraId="54F9421A" w14:textId="408453F2" w:rsidR="00273D7D" w:rsidRPr="008B49D8" w:rsidRDefault="00273D7D" w:rsidP="00273D7D">
            <w:pPr>
              <w:jc w:val="center"/>
              <w:rPr>
                <w:color w:val="FF0000"/>
              </w:rPr>
            </w:pPr>
            <w:r w:rsidRPr="008B49D8">
              <w:rPr>
                <w:color w:val="FF0000"/>
              </w:rPr>
              <w:t>Target</w:t>
            </w:r>
          </w:p>
        </w:tc>
        <w:tc>
          <w:tcPr>
            <w:tcW w:w="602" w:type="dxa"/>
            <w:shd w:val="clear" w:color="auto" w:fill="auto"/>
          </w:tcPr>
          <w:p w14:paraId="7969B96E" w14:textId="2F95456E" w:rsidR="00273D7D" w:rsidRPr="008B49D8" w:rsidRDefault="00273D7D" w:rsidP="00273D7D">
            <w:pPr>
              <w:jc w:val="center"/>
              <w:rPr>
                <w:color w:val="FF0000"/>
              </w:rPr>
            </w:pPr>
            <w:r w:rsidRPr="008B49D8">
              <w:rPr>
                <w:color w:val="FF0000"/>
              </w:rPr>
              <w:t>Actual</w:t>
            </w:r>
          </w:p>
        </w:tc>
        <w:tc>
          <w:tcPr>
            <w:tcW w:w="616" w:type="dxa"/>
            <w:shd w:val="clear" w:color="auto" w:fill="auto"/>
          </w:tcPr>
          <w:p w14:paraId="67FBB6EE" w14:textId="77777777" w:rsidR="00273D7D" w:rsidRPr="00D600DE" w:rsidRDefault="00273D7D" w:rsidP="00273D7D">
            <w:pPr>
              <w:jc w:val="center"/>
            </w:pPr>
            <w:r w:rsidRPr="00D600DE">
              <w:t>Target</w:t>
            </w:r>
          </w:p>
        </w:tc>
        <w:tc>
          <w:tcPr>
            <w:tcW w:w="602" w:type="dxa"/>
            <w:shd w:val="clear" w:color="auto" w:fill="auto"/>
          </w:tcPr>
          <w:p w14:paraId="3EA5BFF9" w14:textId="77777777" w:rsidR="00273D7D" w:rsidRPr="00D600DE" w:rsidRDefault="00273D7D" w:rsidP="00273D7D">
            <w:pPr>
              <w:jc w:val="center"/>
            </w:pPr>
            <w:r w:rsidRPr="00D600DE">
              <w:t>Actual</w:t>
            </w:r>
          </w:p>
        </w:tc>
        <w:tc>
          <w:tcPr>
            <w:tcW w:w="616" w:type="dxa"/>
            <w:shd w:val="clear" w:color="auto" w:fill="auto"/>
          </w:tcPr>
          <w:p w14:paraId="77C2826E" w14:textId="77777777" w:rsidR="00273D7D" w:rsidRPr="00D600DE" w:rsidRDefault="00273D7D" w:rsidP="00273D7D">
            <w:pPr>
              <w:jc w:val="center"/>
            </w:pPr>
            <w:r w:rsidRPr="00D600DE">
              <w:t>Target</w:t>
            </w:r>
          </w:p>
        </w:tc>
        <w:tc>
          <w:tcPr>
            <w:tcW w:w="690" w:type="dxa"/>
            <w:shd w:val="clear" w:color="auto" w:fill="auto"/>
          </w:tcPr>
          <w:p w14:paraId="7C12A108" w14:textId="0C9550A0" w:rsidR="00273D7D" w:rsidRPr="00D600DE" w:rsidRDefault="00273D7D" w:rsidP="00273D7D">
            <w:pPr>
              <w:jc w:val="center"/>
            </w:pPr>
            <w:r w:rsidRPr="00D600DE">
              <w:t>Actual</w:t>
            </w:r>
          </w:p>
        </w:tc>
        <w:tc>
          <w:tcPr>
            <w:tcW w:w="709" w:type="dxa"/>
            <w:shd w:val="clear" w:color="auto" w:fill="auto"/>
          </w:tcPr>
          <w:p w14:paraId="71B89F79" w14:textId="5742BE6D" w:rsidR="00273D7D" w:rsidRPr="00D600DE" w:rsidRDefault="00273D7D" w:rsidP="00273D7D">
            <w:pPr>
              <w:jc w:val="center"/>
            </w:pPr>
            <w:r w:rsidRPr="00D600DE">
              <w:t>Target</w:t>
            </w:r>
          </w:p>
        </w:tc>
        <w:tc>
          <w:tcPr>
            <w:tcW w:w="709" w:type="dxa"/>
            <w:shd w:val="clear" w:color="auto" w:fill="auto"/>
          </w:tcPr>
          <w:p w14:paraId="6FD5AD5C" w14:textId="36902D32" w:rsidR="00273D7D" w:rsidRDefault="00273D7D" w:rsidP="00273D7D">
            <w:pPr>
              <w:jc w:val="center"/>
            </w:pPr>
            <w:r w:rsidRPr="00D600DE">
              <w:t>Act</w:t>
            </w:r>
          </w:p>
          <w:p w14:paraId="52CAD0A1" w14:textId="73688852" w:rsidR="00273D7D" w:rsidRPr="00D600DE" w:rsidRDefault="00273D7D" w:rsidP="00273D7D">
            <w:pPr>
              <w:jc w:val="center"/>
            </w:pPr>
            <w:r w:rsidRPr="00D600DE">
              <w:t>ual</w:t>
            </w:r>
          </w:p>
        </w:tc>
        <w:tc>
          <w:tcPr>
            <w:tcW w:w="708" w:type="dxa"/>
            <w:shd w:val="clear" w:color="auto" w:fill="auto"/>
          </w:tcPr>
          <w:p w14:paraId="49B28B14" w14:textId="5422A996" w:rsidR="00273D7D" w:rsidRPr="00D600DE" w:rsidRDefault="00273D7D" w:rsidP="00273D7D">
            <w:pPr>
              <w:jc w:val="center"/>
              <w:rPr>
                <w:b/>
              </w:rPr>
            </w:pPr>
            <w:r w:rsidRPr="00D600DE">
              <w:rPr>
                <w:b/>
              </w:rPr>
              <w:t>Target</w:t>
            </w:r>
          </w:p>
        </w:tc>
        <w:tc>
          <w:tcPr>
            <w:tcW w:w="709" w:type="dxa"/>
            <w:shd w:val="clear" w:color="auto" w:fill="auto"/>
          </w:tcPr>
          <w:p w14:paraId="618E48E4" w14:textId="50D0B1D6" w:rsidR="00273D7D" w:rsidRPr="00D600DE" w:rsidRDefault="00273D7D" w:rsidP="00273D7D">
            <w:pPr>
              <w:jc w:val="center"/>
              <w:rPr>
                <w:b/>
              </w:rPr>
            </w:pPr>
            <w:r w:rsidRPr="00D600DE">
              <w:rPr>
                <w:b/>
              </w:rPr>
              <w:t>Actual</w:t>
            </w:r>
          </w:p>
        </w:tc>
      </w:tr>
      <w:tr w:rsidR="00273D7D" w:rsidRPr="00D600DE" w14:paraId="16B2E8D4" w14:textId="77777777" w:rsidTr="00E57E64">
        <w:tc>
          <w:tcPr>
            <w:tcW w:w="962" w:type="dxa"/>
            <w:shd w:val="clear" w:color="auto" w:fill="auto"/>
          </w:tcPr>
          <w:p w14:paraId="56F2B144" w14:textId="1FED5B56" w:rsidR="00273D7D" w:rsidRPr="00D600DE" w:rsidRDefault="00273D7D" w:rsidP="00273D7D">
            <w:pPr>
              <w:jc w:val="center"/>
            </w:pPr>
            <w:r w:rsidRPr="00D600DE">
              <w:t>Registration</w:t>
            </w:r>
          </w:p>
        </w:tc>
        <w:tc>
          <w:tcPr>
            <w:tcW w:w="615" w:type="dxa"/>
            <w:shd w:val="clear" w:color="auto" w:fill="auto"/>
          </w:tcPr>
          <w:p w14:paraId="378772F7" w14:textId="77777777" w:rsidR="00273D7D" w:rsidRPr="008B49D8" w:rsidRDefault="00273D7D" w:rsidP="00273D7D">
            <w:pPr>
              <w:jc w:val="center"/>
              <w:rPr>
                <w:color w:val="FF0000"/>
              </w:rPr>
            </w:pPr>
            <w:r w:rsidRPr="008B49D8">
              <w:rPr>
                <w:color w:val="FF0000"/>
              </w:rPr>
              <w:t>25</w:t>
            </w:r>
          </w:p>
        </w:tc>
        <w:tc>
          <w:tcPr>
            <w:tcW w:w="601" w:type="dxa"/>
            <w:shd w:val="clear" w:color="auto" w:fill="auto"/>
          </w:tcPr>
          <w:p w14:paraId="625251D5" w14:textId="77777777" w:rsidR="00273D7D" w:rsidRPr="008B49D8" w:rsidRDefault="00273D7D" w:rsidP="00273D7D">
            <w:pPr>
              <w:jc w:val="center"/>
              <w:rPr>
                <w:color w:val="FF0000"/>
              </w:rPr>
            </w:pPr>
            <w:r w:rsidRPr="008B49D8">
              <w:rPr>
                <w:color w:val="FF0000"/>
              </w:rPr>
              <w:t>0</w:t>
            </w:r>
          </w:p>
        </w:tc>
        <w:tc>
          <w:tcPr>
            <w:tcW w:w="616" w:type="dxa"/>
            <w:shd w:val="clear" w:color="auto" w:fill="auto"/>
          </w:tcPr>
          <w:p w14:paraId="0B1A4BFF" w14:textId="77777777" w:rsidR="00273D7D" w:rsidRPr="008B49D8" w:rsidRDefault="00273D7D" w:rsidP="00273D7D">
            <w:pPr>
              <w:jc w:val="center"/>
              <w:rPr>
                <w:color w:val="FF0000"/>
              </w:rPr>
            </w:pPr>
            <w:r w:rsidRPr="008B49D8">
              <w:rPr>
                <w:color w:val="FF0000"/>
              </w:rPr>
              <w:t>75</w:t>
            </w:r>
          </w:p>
        </w:tc>
        <w:tc>
          <w:tcPr>
            <w:tcW w:w="602" w:type="dxa"/>
            <w:shd w:val="clear" w:color="auto" w:fill="auto"/>
          </w:tcPr>
          <w:p w14:paraId="0AE23388" w14:textId="77777777" w:rsidR="00273D7D" w:rsidRPr="008B49D8" w:rsidRDefault="00273D7D" w:rsidP="00273D7D">
            <w:pPr>
              <w:jc w:val="center"/>
              <w:rPr>
                <w:color w:val="FF0000"/>
              </w:rPr>
            </w:pPr>
            <w:r w:rsidRPr="008B49D8">
              <w:rPr>
                <w:color w:val="FF0000"/>
              </w:rPr>
              <w:t>25</w:t>
            </w:r>
          </w:p>
        </w:tc>
        <w:tc>
          <w:tcPr>
            <w:tcW w:w="616" w:type="dxa"/>
            <w:shd w:val="clear" w:color="auto" w:fill="auto"/>
          </w:tcPr>
          <w:p w14:paraId="22DF9D3C" w14:textId="77777777" w:rsidR="00273D7D" w:rsidRPr="00D600DE" w:rsidRDefault="00273D7D" w:rsidP="00273D7D">
            <w:pPr>
              <w:jc w:val="center"/>
            </w:pPr>
            <w:r w:rsidRPr="00D600DE">
              <w:t>113</w:t>
            </w:r>
          </w:p>
        </w:tc>
        <w:tc>
          <w:tcPr>
            <w:tcW w:w="602" w:type="dxa"/>
            <w:shd w:val="clear" w:color="auto" w:fill="auto"/>
          </w:tcPr>
          <w:p w14:paraId="779FBC71" w14:textId="77777777" w:rsidR="00273D7D" w:rsidRPr="00D600DE" w:rsidRDefault="00273D7D" w:rsidP="00273D7D">
            <w:pPr>
              <w:jc w:val="center"/>
            </w:pPr>
            <w:r w:rsidRPr="00D600DE">
              <w:t>95</w:t>
            </w:r>
          </w:p>
        </w:tc>
        <w:tc>
          <w:tcPr>
            <w:tcW w:w="616" w:type="dxa"/>
            <w:shd w:val="clear" w:color="auto" w:fill="auto"/>
          </w:tcPr>
          <w:p w14:paraId="460D3D5A" w14:textId="77777777" w:rsidR="00273D7D" w:rsidRPr="00D600DE" w:rsidRDefault="00273D7D" w:rsidP="00273D7D">
            <w:pPr>
              <w:jc w:val="center"/>
            </w:pPr>
            <w:r w:rsidRPr="00D600DE">
              <w:t>113</w:t>
            </w:r>
          </w:p>
        </w:tc>
        <w:tc>
          <w:tcPr>
            <w:tcW w:w="690" w:type="dxa"/>
            <w:shd w:val="clear" w:color="auto" w:fill="auto"/>
          </w:tcPr>
          <w:p w14:paraId="04F77ABE" w14:textId="57694265" w:rsidR="00273D7D" w:rsidRPr="00D600DE" w:rsidRDefault="00273D7D" w:rsidP="00273D7D">
            <w:r>
              <w:t>20</w:t>
            </w:r>
            <w:r w:rsidRPr="00D600DE">
              <w:t>5</w:t>
            </w:r>
          </w:p>
        </w:tc>
        <w:tc>
          <w:tcPr>
            <w:tcW w:w="709" w:type="dxa"/>
            <w:shd w:val="clear" w:color="auto" w:fill="auto"/>
          </w:tcPr>
          <w:p w14:paraId="252C84B8" w14:textId="77777777" w:rsidR="00273D7D" w:rsidRPr="00D600DE" w:rsidRDefault="00273D7D" w:rsidP="00273D7D">
            <w:pPr>
              <w:jc w:val="center"/>
            </w:pPr>
            <w:r w:rsidRPr="00D600DE">
              <w:t>38</w:t>
            </w:r>
          </w:p>
        </w:tc>
        <w:tc>
          <w:tcPr>
            <w:tcW w:w="709" w:type="dxa"/>
            <w:shd w:val="clear" w:color="auto" w:fill="auto"/>
          </w:tcPr>
          <w:p w14:paraId="37EC5B70" w14:textId="77777777" w:rsidR="00273D7D" w:rsidRPr="00D600DE" w:rsidRDefault="00273D7D" w:rsidP="00273D7D">
            <w:pPr>
              <w:jc w:val="center"/>
            </w:pPr>
            <w:r w:rsidRPr="00D600DE">
              <w:t>28</w:t>
            </w:r>
          </w:p>
        </w:tc>
        <w:tc>
          <w:tcPr>
            <w:tcW w:w="708" w:type="dxa"/>
            <w:shd w:val="clear" w:color="auto" w:fill="auto"/>
          </w:tcPr>
          <w:p w14:paraId="017CB44E" w14:textId="77777777" w:rsidR="00273D7D" w:rsidRPr="00D600DE" w:rsidRDefault="00273D7D" w:rsidP="00273D7D">
            <w:pPr>
              <w:jc w:val="center"/>
              <w:rPr>
                <w:b/>
              </w:rPr>
            </w:pPr>
            <w:r w:rsidRPr="00D600DE">
              <w:rPr>
                <w:b/>
              </w:rPr>
              <w:t>364</w:t>
            </w:r>
          </w:p>
        </w:tc>
        <w:tc>
          <w:tcPr>
            <w:tcW w:w="709" w:type="dxa"/>
            <w:shd w:val="clear" w:color="auto" w:fill="auto"/>
          </w:tcPr>
          <w:p w14:paraId="281DB4EE" w14:textId="77777777" w:rsidR="00273D7D" w:rsidRPr="00D600DE" w:rsidRDefault="00273D7D" w:rsidP="00273D7D">
            <w:pPr>
              <w:jc w:val="center"/>
              <w:rPr>
                <w:b/>
              </w:rPr>
            </w:pPr>
            <w:r w:rsidRPr="00D600DE">
              <w:rPr>
                <w:b/>
              </w:rPr>
              <w:t>353</w:t>
            </w:r>
          </w:p>
        </w:tc>
      </w:tr>
      <w:tr w:rsidR="00273D7D" w:rsidRPr="00D600DE" w14:paraId="2A4F4921" w14:textId="77777777" w:rsidTr="00E57E64">
        <w:tc>
          <w:tcPr>
            <w:tcW w:w="962" w:type="dxa"/>
            <w:shd w:val="clear" w:color="auto" w:fill="auto"/>
          </w:tcPr>
          <w:p w14:paraId="689ACE3D" w14:textId="77777777" w:rsidR="00273D7D" w:rsidRPr="00D600DE" w:rsidRDefault="00273D7D" w:rsidP="00273D7D">
            <w:pPr>
              <w:jc w:val="center"/>
            </w:pPr>
            <w:r w:rsidRPr="00D600DE">
              <w:t>Job start</w:t>
            </w:r>
          </w:p>
        </w:tc>
        <w:tc>
          <w:tcPr>
            <w:tcW w:w="615" w:type="dxa"/>
            <w:shd w:val="clear" w:color="auto" w:fill="auto"/>
          </w:tcPr>
          <w:p w14:paraId="15E6EBB8" w14:textId="77777777" w:rsidR="00273D7D" w:rsidRPr="008B49D8" w:rsidRDefault="00273D7D" w:rsidP="00273D7D">
            <w:pPr>
              <w:jc w:val="center"/>
              <w:rPr>
                <w:color w:val="FF0000"/>
              </w:rPr>
            </w:pPr>
            <w:r w:rsidRPr="008B49D8">
              <w:rPr>
                <w:color w:val="FF0000"/>
              </w:rPr>
              <w:t>5</w:t>
            </w:r>
          </w:p>
        </w:tc>
        <w:tc>
          <w:tcPr>
            <w:tcW w:w="601" w:type="dxa"/>
            <w:shd w:val="clear" w:color="auto" w:fill="auto"/>
          </w:tcPr>
          <w:p w14:paraId="56ED9CB4" w14:textId="77777777" w:rsidR="00273D7D" w:rsidRPr="008B49D8" w:rsidRDefault="00273D7D" w:rsidP="00273D7D">
            <w:pPr>
              <w:jc w:val="center"/>
              <w:rPr>
                <w:color w:val="FF0000"/>
              </w:rPr>
            </w:pPr>
            <w:r w:rsidRPr="008B49D8">
              <w:rPr>
                <w:color w:val="FF0000"/>
              </w:rPr>
              <w:t>0</w:t>
            </w:r>
          </w:p>
        </w:tc>
        <w:tc>
          <w:tcPr>
            <w:tcW w:w="616" w:type="dxa"/>
            <w:shd w:val="clear" w:color="auto" w:fill="auto"/>
          </w:tcPr>
          <w:p w14:paraId="74A17B55" w14:textId="77777777" w:rsidR="00273D7D" w:rsidRPr="008B49D8" w:rsidRDefault="00273D7D" w:rsidP="00273D7D">
            <w:pPr>
              <w:jc w:val="center"/>
              <w:rPr>
                <w:color w:val="FF0000"/>
              </w:rPr>
            </w:pPr>
            <w:r w:rsidRPr="008B49D8">
              <w:rPr>
                <w:color w:val="FF0000"/>
              </w:rPr>
              <w:t>15</w:t>
            </w:r>
          </w:p>
        </w:tc>
        <w:tc>
          <w:tcPr>
            <w:tcW w:w="602" w:type="dxa"/>
            <w:shd w:val="clear" w:color="auto" w:fill="auto"/>
          </w:tcPr>
          <w:p w14:paraId="720552D4" w14:textId="77777777" w:rsidR="00273D7D" w:rsidRPr="008B49D8" w:rsidRDefault="00273D7D" w:rsidP="00273D7D">
            <w:pPr>
              <w:jc w:val="center"/>
              <w:rPr>
                <w:color w:val="FF0000"/>
              </w:rPr>
            </w:pPr>
            <w:r w:rsidRPr="008B49D8">
              <w:rPr>
                <w:color w:val="FF0000"/>
              </w:rPr>
              <w:t>1</w:t>
            </w:r>
          </w:p>
        </w:tc>
        <w:tc>
          <w:tcPr>
            <w:tcW w:w="616" w:type="dxa"/>
            <w:shd w:val="clear" w:color="auto" w:fill="auto"/>
          </w:tcPr>
          <w:p w14:paraId="51477F08" w14:textId="77777777" w:rsidR="00273D7D" w:rsidRPr="00D600DE" w:rsidRDefault="00273D7D" w:rsidP="00273D7D">
            <w:pPr>
              <w:jc w:val="center"/>
            </w:pPr>
            <w:r w:rsidRPr="00D600DE">
              <w:t>28</w:t>
            </w:r>
          </w:p>
        </w:tc>
        <w:tc>
          <w:tcPr>
            <w:tcW w:w="602" w:type="dxa"/>
            <w:shd w:val="clear" w:color="auto" w:fill="auto"/>
          </w:tcPr>
          <w:p w14:paraId="3EE14506" w14:textId="77777777" w:rsidR="00273D7D" w:rsidRPr="00D600DE" w:rsidRDefault="00273D7D" w:rsidP="00273D7D">
            <w:pPr>
              <w:jc w:val="center"/>
            </w:pPr>
            <w:r w:rsidRPr="00D600DE">
              <w:t>2</w:t>
            </w:r>
          </w:p>
        </w:tc>
        <w:tc>
          <w:tcPr>
            <w:tcW w:w="616" w:type="dxa"/>
            <w:shd w:val="clear" w:color="auto" w:fill="auto"/>
          </w:tcPr>
          <w:p w14:paraId="6321DF54" w14:textId="77777777" w:rsidR="00273D7D" w:rsidRPr="00D600DE" w:rsidRDefault="00273D7D" w:rsidP="00273D7D">
            <w:pPr>
              <w:jc w:val="center"/>
            </w:pPr>
            <w:r w:rsidRPr="00D600DE">
              <w:t>28</w:t>
            </w:r>
          </w:p>
        </w:tc>
        <w:tc>
          <w:tcPr>
            <w:tcW w:w="690" w:type="dxa"/>
            <w:shd w:val="clear" w:color="auto" w:fill="auto"/>
          </w:tcPr>
          <w:p w14:paraId="258185CA" w14:textId="77777777" w:rsidR="00273D7D" w:rsidRPr="00D600DE" w:rsidRDefault="00273D7D" w:rsidP="00273D7D">
            <w:pPr>
              <w:jc w:val="center"/>
            </w:pPr>
            <w:r w:rsidRPr="00D600DE">
              <w:t>31</w:t>
            </w:r>
          </w:p>
        </w:tc>
        <w:tc>
          <w:tcPr>
            <w:tcW w:w="709" w:type="dxa"/>
            <w:shd w:val="clear" w:color="auto" w:fill="auto"/>
          </w:tcPr>
          <w:p w14:paraId="74F65BEA" w14:textId="77777777" w:rsidR="00273D7D" w:rsidRPr="00D600DE" w:rsidRDefault="00273D7D" w:rsidP="00273D7D">
            <w:pPr>
              <w:jc w:val="center"/>
            </w:pPr>
            <w:r w:rsidRPr="00D600DE">
              <w:t>10</w:t>
            </w:r>
          </w:p>
        </w:tc>
        <w:tc>
          <w:tcPr>
            <w:tcW w:w="709" w:type="dxa"/>
            <w:shd w:val="clear" w:color="auto" w:fill="auto"/>
          </w:tcPr>
          <w:p w14:paraId="2A310F6E" w14:textId="77777777" w:rsidR="00273D7D" w:rsidRPr="00D600DE" w:rsidRDefault="00273D7D" w:rsidP="00273D7D">
            <w:pPr>
              <w:jc w:val="center"/>
            </w:pPr>
            <w:r w:rsidRPr="00D600DE">
              <w:t>15</w:t>
            </w:r>
          </w:p>
        </w:tc>
        <w:tc>
          <w:tcPr>
            <w:tcW w:w="708" w:type="dxa"/>
            <w:shd w:val="clear" w:color="auto" w:fill="auto"/>
          </w:tcPr>
          <w:p w14:paraId="3729A655" w14:textId="77777777" w:rsidR="00273D7D" w:rsidRPr="00D600DE" w:rsidRDefault="00273D7D" w:rsidP="00273D7D">
            <w:pPr>
              <w:jc w:val="center"/>
              <w:rPr>
                <w:b/>
              </w:rPr>
            </w:pPr>
            <w:r w:rsidRPr="00D600DE">
              <w:rPr>
                <w:b/>
              </w:rPr>
              <w:t>86</w:t>
            </w:r>
          </w:p>
        </w:tc>
        <w:tc>
          <w:tcPr>
            <w:tcW w:w="709" w:type="dxa"/>
            <w:shd w:val="clear" w:color="auto" w:fill="auto"/>
          </w:tcPr>
          <w:p w14:paraId="53DEEDA2" w14:textId="77777777" w:rsidR="00273D7D" w:rsidRPr="00D600DE" w:rsidRDefault="00273D7D" w:rsidP="00273D7D">
            <w:pPr>
              <w:jc w:val="center"/>
              <w:rPr>
                <w:b/>
              </w:rPr>
            </w:pPr>
            <w:r w:rsidRPr="00D600DE">
              <w:rPr>
                <w:b/>
              </w:rPr>
              <w:t>49</w:t>
            </w:r>
          </w:p>
        </w:tc>
      </w:tr>
      <w:tr w:rsidR="00273D7D" w:rsidRPr="00D600DE" w14:paraId="3B2775CA" w14:textId="77777777" w:rsidTr="00E57E64">
        <w:tc>
          <w:tcPr>
            <w:tcW w:w="962" w:type="dxa"/>
            <w:shd w:val="clear" w:color="auto" w:fill="auto"/>
          </w:tcPr>
          <w:p w14:paraId="3EB53255" w14:textId="77777777" w:rsidR="00273D7D" w:rsidRPr="00D600DE" w:rsidRDefault="00273D7D" w:rsidP="00273D7D">
            <w:pPr>
              <w:jc w:val="center"/>
            </w:pPr>
            <w:r w:rsidRPr="00D600DE">
              <w:t>Sustained job 26 weeks</w:t>
            </w:r>
          </w:p>
        </w:tc>
        <w:tc>
          <w:tcPr>
            <w:tcW w:w="615" w:type="dxa"/>
            <w:shd w:val="clear" w:color="auto" w:fill="auto"/>
          </w:tcPr>
          <w:p w14:paraId="4858BB53" w14:textId="77777777" w:rsidR="00273D7D" w:rsidRPr="008B49D8" w:rsidRDefault="00273D7D" w:rsidP="00273D7D">
            <w:pPr>
              <w:jc w:val="center"/>
              <w:rPr>
                <w:color w:val="FF0000"/>
              </w:rPr>
            </w:pPr>
            <w:r w:rsidRPr="008B49D8">
              <w:rPr>
                <w:color w:val="FF0000"/>
              </w:rPr>
              <w:t>0</w:t>
            </w:r>
          </w:p>
        </w:tc>
        <w:tc>
          <w:tcPr>
            <w:tcW w:w="601" w:type="dxa"/>
            <w:shd w:val="clear" w:color="auto" w:fill="auto"/>
          </w:tcPr>
          <w:p w14:paraId="0F172DD5" w14:textId="77777777" w:rsidR="00273D7D" w:rsidRPr="008B49D8" w:rsidRDefault="00273D7D" w:rsidP="00273D7D">
            <w:pPr>
              <w:jc w:val="center"/>
              <w:rPr>
                <w:color w:val="FF0000"/>
              </w:rPr>
            </w:pPr>
            <w:r w:rsidRPr="008B49D8">
              <w:rPr>
                <w:color w:val="FF0000"/>
              </w:rPr>
              <w:t>0</w:t>
            </w:r>
          </w:p>
        </w:tc>
        <w:tc>
          <w:tcPr>
            <w:tcW w:w="616" w:type="dxa"/>
            <w:shd w:val="clear" w:color="auto" w:fill="auto"/>
          </w:tcPr>
          <w:p w14:paraId="0745ED38" w14:textId="77777777" w:rsidR="00273D7D" w:rsidRPr="008B49D8" w:rsidRDefault="00273D7D" w:rsidP="00273D7D">
            <w:pPr>
              <w:jc w:val="center"/>
              <w:rPr>
                <w:color w:val="FF0000"/>
              </w:rPr>
            </w:pPr>
            <w:r w:rsidRPr="008B49D8">
              <w:rPr>
                <w:color w:val="FF0000"/>
              </w:rPr>
              <w:t>0</w:t>
            </w:r>
          </w:p>
        </w:tc>
        <w:tc>
          <w:tcPr>
            <w:tcW w:w="602" w:type="dxa"/>
            <w:shd w:val="clear" w:color="auto" w:fill="auto"/>
          </w:tcPr>
          <w:p w14:paraId="20AA3099" w14:textId="77777777" w:rsidR="00273D7D" w:rsidRPr="008B49D8" w:rsidRDefault="00273D7D" w:rsidP="00273D7D">
            <w:pPr>
              <w:jc w:val="center"/>
              <w:rPr>
                <w:color w:val="FF0000"/>
              </w:rPr>
            </w:pPr>
            <w:r w:rsidRPr="008B49D8">
              <w:rPr>
                <w:color w:val="FF0000"/>
              </w:rPr>
              <w:t>3*</w:t>
            </w:r>
          </w:p>
        </w:tc>
        <w:tc>
          <w:tcPr>
            <w:tcW w:w="616" w:type="dxa"/>
            <w:shd w:val="clear" w:color="auto" w:fill="auto"/>
          </w:tcPr>
          <w:p w14:paraId="3C171A59" w14:textId="77777777" w:rsidR="00273D7D" w:rsidRPr="00D600DE" w:rsidRDefault="00273D7D" w:rsidP="00273D7D">
            <w:pPr>
              <w:jc w:val="center"/>
            </w:pPr>
            <w:r w:rsidRPr="00D600DE">
              <w:t>0</w:t>
            </w:r>
          </w:p>
        </w:tc>
        <w:tc>
          <w:tcPr>
            <w:tcW w:w="602" w:type="dxa"/>
            <w:shd w:val="clear" w:color="auto" w:fill="auto"/>
          </w:tcPr>
          <w:p w14:paraId="5D5AAE15" w14:textId="77777777" w:rsidR="00273D7D" w:rsidRPr="00D600DE" w:rsidRDefault="00273D7D" w:rsidP="00273D7D">
            <w:pPr>
              <w:jc w:val="center"/>
            </w:pPr>
            <w:r w:rsidRPr="00D600DE">
              <w:t>0</w:t>
            </w:r>
          </w:p>
        </w:tc>
        <w:tc>
          <w:tcPr>
            <w:tcW w:w="616" w:type="dxa"/>
            <w:shd w:val="clear" w:color="auto" w:fill="auto"/>
          </w:tcPr>
          <w:p w14:paraId="7AD54F17" w14:textId="77777777" w:rsidR="00273D7D" w:rsidRPr="00D600DE" w:rsidRDefault="00273D7D" w:rsidP="00273D7D">
            <w:pPr>
              <w:jc w:val="center"/>
            </w:pPr>
            <w:r w:rsidRPr="00D600DE">
              <w:t>16</w:t>
            </w:r>
          </w:p>
        </w:tc>
        <w:tc>
          <w:tcPr>
            <w:tcW w:w="690" w:type="dxa"/>
            <w:shd w:val="clear" w:color="auto" w:fill="auto"/>
          </w:tcPr>
          <w:p w14:paraId="64482209" w14:textId="77777777" w:rsidR="00273D7D" w:rsidRPr="00D600DE" w:rsidRDefault="00273D7D" w:rsidP="00273D7D">
            <w:pPr>
              <w:jc w:val="center"/>
            </w:pPr>
            <w:r w:rsidRPr="00D600DE">
              <w:t>0</w:t>
            </w:r>
          </w:p>
        </w:tc>
        <w:tc>
          <w:tcPr>
            <w:tcW w:w="709" w:type="dxa"/>
            <w:shd w:val="clear" w:color="auto" w:fill="auto"/>
          </w:tcPr>
          <w:p w14:paraId="3E4E96B3" w14:textId="77777777" w:rsidR="00273D7D" w:rsidRPr="00D600DE" w:rsidRDefault="00273D7D" w:rsidP="00273D7D">
            <w:pPr>
              <w:jc w:val="center"/>
            </w:pPr>
            <w:r w:rsidRPr="00D600DE">
              <w:t>5</w:t>
            </w:r>
          </w:p>
        </w:tc>
        <w:tc>
          <w:tcPr>
            <w:tcW w:w="709" w:type="dxa"/>
            <w:shd w:val="clear" w:color="auto" w:fill="auto"/>
          </w:tcPr>
          <w:p w14:paraId="67F82C4A" w14:textId="77777777" w:rsidR="00273D7D" w:rsidRPr="00D600DE" w:rsidRDefault="00273D7D" w:rsidP="00273D7D">
            <w:pPr>
              <w:jc w:val="center"/>
            </w:pPr>
            <w:r w:rsidRPr="00D600DE">
              <w:t>3</w:t>
            </w:r>
          </w:p>
        </w:tc>
        <w:tc>
          <w:tcPr>
            <w:tcW w:w="708" w:type="dxa"/>
            <w:shd w:val="clear" w:color="auto" w:fill="auto"/>
          </w:tcPr>
          <w:p w14:paraId="36C7F5DD" w14:textId="77777777" w:rsidR="00273D7D" w:rsidRPr="00D600DE" w:rsidRDefault="00273D7D" w:rsidP="00273D7D">
            <w:pPr>
              <w:jc w:val="center"/>
              <w:rPr>
                <w:b/>
              </w:rPr>
            </w:pPr>
            <w:r w:rsidRPr="00D600DE">
              <w:rPr>
                <w:b/>
              </w:rPr>
              <w:t>21</w:t>
            </w:r>
          </w:p>
        </w:tc>
        <w:tc>
          <w:tcPr>
            <w:tcW w:w="709" w:type="dxa"/>
            <w:shd w:val="clear" w:color="auto" w:fill="auto"/>
          </w:tcPr>
          <w:p w14:paraId="302FF71A" w14:textId="77777777" w:rsidR="00273D7D" w:rsidRPr="00D600DE" w:rsidRDefault="00273D7D" w:rsidP="00273D7D">
            <w:pPr>
              <w:jc w:val="center"/>
              <w:rPr>
                <w:b/>
              </w:rPr>
            </w:pPr>
            <w:r w:rsidRPr="00D600DE">
              <w:rPr>
                <w:b/>
              </w:rPr>
              <w:t>6</w:t>
            </w:r>
          </w:p>
        </w:tc>
      </w:tr>
      <w:tr w:rsidR="00273D7D" w:rsidRPr="00D600DE" w14:paraId="37C6D26A" w14:textId="77777777" w:rsidTr="00E57E64">
        <w:tc>
          <w:tcPr>
            <w:tcW w:w="962" w:type="dxa"/>
            <w:shd w:val="clear" w:color="auto" w:fill="auto"/>
          </w:tcPr>
          <w:p w14:paraId="73DE9BF3" w14:textId="77777777" w:rsidR="00273D7D" w:rsidRPr="00D600DE" w:rsidRDefault="00273D7D" w:rsidP="00273D7D">
            <w:pPr>
              <w:jc w:val="center"/>
            </w:pPr>
            <w:r w:rsidRPr="00D600DE">
              <w:t>Sustained job 52 weeks</w:t>
            </w:r>
          </w:p>
        </w:tc>
        <w:tc>
          <w:tcPr>
            <w:tcW w:w="615" w:type="dxa"/>
            <w:shd w:val="clear" w:color="auto" w:fill="auto"/>
          </w:tcPr>
          <w:p w14:paraId="3E11A3C0" w14:textId="77777777" w:rsidR="00273D7D" w:rsidRPr="008B49D8" w:rsidRDefault="00273D7D" w:rsidP="00273D7D">
            <w:pPr>
              <w:jc w:val="center"/>
              <w:rPr>
                <w:color w:val="FF0000"/>
              </w:rPr>
            </w:pPr>
            <w:r w:rsidRPr="008B49D8">
              <w:rPr>
                <w:color w:val="FF0000"/>
              </w:rPr>
              <w:t>0</w:t>
            </w:r>
          </w:p>
        </w:tc>
        <w:tc>
          <w:tcPr>
            <w:tcW w:w="601" w:type="dxa"/>
            <w:shd w:val="clear" w:color="auto" w:fill="auto"/>
          </w:tcPr>
          <w:p w14:paraId="45C3DAEF" w14:textId="77777777" w:rsidR="00273D7D" w:rsidRPr="008B49D8" w:rsidRDefault="00273D7D" w:rsidP="00273D7D">
            <w:pPr>
              <w:jc w:val="center"/>
              <w:rPr>
                <w:color w:val="FF0000"/>
              </w:rPr>
            </w:pPr>
            <w:r w:rsidRPr="008B49D8">
              <w:rPr>
                <w:color w:val="FF0000"/>
              </w:rPr>
              <w:t>0</w:t>
            </w:r>
          </w:p>
        </w:tc>
        <w:tc>
          <w:tcPr>
            <w:tcW w:w="616" w:type="dxa"/>
            <w:shd w:val="clear" w:color="auto" w:fill="auto"/>
          </w:tcPr>
          <w:p w14:paraId="05B2E908" w14:textId="77777777" w:rsidR="00273D7D" w:rsidRPr="008B49D8" w:rsidRDefault="00273D7D" w:rsidP="00273D7D">
            <w:pPr>
              <w:jc w:val="center"/>
              <w:rPr>
                <w:color w:val="FF0000"/>
              </w:rPr>
            </w:pPr>
            <w:r w:rsidRPr="008B49D8">
              <w:rPr>
                <w:color w:val="FF0000"/>
              </w:rPr>
              <w:t>0</w:t>
            </w:r>
          </w:p>
        </w:tc>
        <w:tc>
          <w:tcPr>
            <w:tcW w:w="602" w:type="dxa"/>
            <w:shd w:val="clear" w:color="auto" w:fill="auto"/>
          </w:tcPr>
          <w:p w14:paraId="3BA28217" w14:textId="77777777" w:rsidR="00273D7D" w:rsidRPr="008B49D8" w:rsidRDefault="00273D7D" w:rsidP="00273D7D">
            <w:pPr>
              <w:jc w:val="center"/>
              <w:rPr>
                <w:color w:val="FF0000"/>
              </w:rPr>
            </w:pPr>
            <w:r w:rsidRPr="008B49D8">
              <w:rPr>
                <w:color w:val="FF0000"/>
              </w:rPr>
              <w:t>1*</w:t>
            </w:r>
          </w:p>
        </w:tc>
        <w:tc>
          <w:tcPr>
            <w:tcW w:w="616" w:type="dxa"/>
            <w:shd w:val="clear" w:color="auto" w:fill="auto"/>
          </w:tcPr>
          <w:p w14:paraId="6465904F" w14:textId="77777777" w:rsidR="00273D7D" w:rsidRPr="00D600DE" w:rsidRDefault="00273D7D" w:rsidP="00273D7D">
            <w:pPr>
              <w:jc w:val="center"/>
            </w:pPr>
            <w:r w:rsidRPr="00D600DE">
              <w:t>0</w:t>
            </w:r>
          </w:p>
        </w:tc>
        <w:tc>
          <w:tcPr>
            <w:tcW w:w="602" w:type="dxa"/>
            <w:shd w:val="clear" w:color="auto" w:fill="auto"/>
          </w:tcPr>
          <w:p w14:paraId="275E0C61" w14:textId="77777777" w:rsidR="00273D7D" w:rsidRPr="00D600DE" w:rsidRDefault="00273D7D" w:rsidP="00273D7D">
            <w:pPr>
              <w:jc w:val="center"/>
            </w:pPr>
            <w:r w:rsidRPr="00D600DE">
              <w:t>0</w:t>
            </w:r>
          </w:p>
        </w:tc>
        <w:tc>
          <w:tcPr>
            <w:tcW w:w="616" w:type="dxa"/>
            <w:shd w:val="clear" w:color="auto" w:fill="auto"/>
          </w:tcPr>
          <w:p w14:paraId="5E0DAB5F" w14:textId="77777777" w:rsidR="00273D7D" w:rsidRPr="00D600DE" w:rsidRDefault="00273D7D" w:rsidP="00273D7D">
            <w:pPr>
              <w:jc w:val="center"/>
            </w:pPr>
            <w:r w:rsidRPr="00D600DE">
              <w:t>0</w:t>
            </w:r>
          </w:p>
        </w:tc>
        <w:tc>
          <w:tcPr>
            <w:tcW w:w="690" w:type="dxa"/>
            <w:shd w:val="clear" w:color="auto" w:fill="auto"/>
          </w:tcPr>
          <w:p w14:paraId="4D7435F3" w14:textId="77777777" w:rsidR="00273D7D" w:rsidRPr="00D600DE" w:rsidRDefault="00273D7D" w:rsidP="00273D7D">
            <w:pPr>
              <w:jc w:val="center"/>
            </w:pPr>
            <w:r w:rsidRPr="00D600DE">
              <w:t>0</w:t>
            </w:r>
          </w:p>
        </w:tc>
        <w:tc>
          <w:tcPr>
            <w:tcW w:w="709" w:type="dxa"/>
            <w:shd w:val="clear" w:color="auto" w:fill="auto"/>
          </w:tcPr>
          <w:p w14:paraId="7E468E54" w14:textId="77777777" w:rsidR="00273D7D" w:rsidRPr="00D600DE" w:rsidRDefault="00273D7D" w:rsidP="00273D7D">
            <w:pPr>
              <w:jc w:val="center"/>
            </w:pPr>
            <w:r w:rsidRPr="00D600DE">
              <w:t>0</w:t>
            </w:r>
          </w:p>
        </w:tc>
        <w:tc>
          <w:tcPr>
            <w:tcW w:w="709" w:type="dxa"/>
            <w:shd w:val="clear" w:color="auto" w:fill="auto"/>
          </w:tcPr>
          <w:p w14:paraId="73CF31A9" w14:textId="77777777" w:rsidR="00273D7D" w:rsidRPr="00D600DE" w:rsidRDefault="00273D7D" w:rsidP="00273D7D">
            <w:pPr>
              <w:jc w:val="center"/>
            </w:pPr>
            <w:r w:rsidRPr="00D600DE">
              <w:t>0</w:t>
            </w:r>
          </w:p>
        </w:tc>
        <w:tc>
          <w:tcPr>
            <w:tcW w:w="708" w:type="dxa"/>
            <w:shd w:val="clear" w:color="auto" w:fill="auto"/>
          </w:tcPr>
          <w:p w14:paraId="6EB1180D" w14:textId="77777777" w:rsidR="00273D7D" w:rsidRPr="00D600DE" w:rsidRDefault="00273D7D" w:rsidP="00273D7D">
            <w:pPr>
              <w:jc w:val="center"/>
              <w:rPr>
                <w:b/>
              </w:rPr>
            </w:pPr>
            <w:r w:rsidRPr="00D600DE">
              <w:rPr>
                <w:b/>
              </w:rPr>
              <w:t>0</w:t>
            </w:r>
          </w:p>
        </w:tc>
        <w:tc>
          <w:tcPr>
            <w:tcW w:w="709" w:type="dxa"/>
            <w:shd w:val="clear" w:color="auto" w:fill="auto"/>
          </w:tcPr>
          <w:p w14:paraId="1AF4AE13" w14:textId="77777777" w:rsidR="00273D7D" w:rsidRPr="00D600DE" w:rsidRDefault="00273D7D" w:rsidP="00273D7D">
            <w:pPr>
              <w:jc w:val="center"/>
              <w:rPr>
                <w:b/>
              </w:rPr>
            </w:pPr>
            <w:r w:rsidRPr="00D600DE">
              <w:rPr>
                <w:b/>
              </w:rPr>
              <w:t>1</w:t>
            </w:r>
          </w:p>
        </w:tc>
      </w:tr>
    </w:tbl>
    <w:p w14:paraId="6182F93C" w14:textId="77777777" w:rsidR="00273D7D" w:rsidRPr="00C222A9" w:rsidRDefault="00273D7D" w:rsidP="00273D7D">
      <w:pPr>
        <w:jc w:val="center"/>
        <w:rPr>
          <w:b/>
        </w:rPr>
      </w:pPr>
    </w:p>
    <w:p w14:paraId="78A04CA2" w14:textId="7B4BB181" w:rsidR="00273D7D" w:rsidRDefault="00273D7D" w:rsidP="00273D7D">
      <w:pPr>
        <w:jc w:val="both"/>
      </w:pPr>
      <w:r>
        <w:t>Red – figures missing from Ms. Agass’ briefing document to the Scrutiny Panel, and later divulged to me.</w:t>
      </w:r>
    </w:p>
    <w:p w14:paraId="38A8DAE3" w14:textId="77777777" w:rsidR="00273D7D" w:rsidRDefault="00273D7D" w:rsidP="00273D7D">
      <w:pPr>
        <w:jc w:val="both"/>
      </w:pPr>
    </w:p>
    <w:p w14:paraId="40E21001" w14:textId="00C406F6" w:rsidR="00273D7D" w:rsidRDefault="00273D7D" w:rsidP="00273D7D">
      <w:pPr>
        <w:jc w:val="both"/>
      </w:pPr>
      <w:r w:rsidRPr="008B49D8">
        <w:rPr>
          <w:color w:val="FF0000"/>
        </w:rPr>
        <w:t>*</w:t>
      </w:r>
      <w:r>
        <w:t xml:space="preserve"> It is difficult to see how these figures can be correct, since at the end of Q4, neither 26 nor 52 weeks had elapsed since the beginning of the programme (12/12/11). </w:t>
      </w:r>
    </w:p>
    <w:p w14:paraId="3B8CD287" w14:textId="77777777" w:rsidR="00273D7D" w:rsidRDefault="00273D7D" w:rsidP="00273D7D">
      <w:pPr>
        <w:jc w:val="both"/>
      </w:pPr>
    </w:p>
    <w:p w14:paraId="4FF2DBB0" w14:textId="30F8B23E" w:rsidR="00273D7D" w:rsidRDefault="00273D7D" w:rsidP="00FF240D">
      <w:pPr>
        <w:jc w:val="both"/>
      </w:pPr>
      <w:r>
        <w:t>Source: material released to Council scrutiny panel; Agass-Tiratsoo, 14 December 2012</w:t>
      </w:r>
    </w:p>
    <w:sectPr w:rsidR="00273D7D" w:rsidSect="008D763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B08EC" w14:textId="77777777" w:rsidR="00AF7DC8" w:rsidRDefault="00AF7DC8">
      <w:r>
        <w:separator/>
      </w:r>
    </w:p>
  </w:endnote>
  <w:endnote w:type="continuationSeparator" w:id="0">
    <w:p w14:paraId="74713F2A" w14:textId="77777777" w:rsidR="00AF7DC8" w:rsidRDefault="00A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67C9A" w14:textId="77777777" w:rsidR="00AF7DC8" w:rsidRDefault="00AF7DC8" w:rsidP="00064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6ECD3" w14:textId="77777777" w:rsidR="00AF7DC8" w:rsidRDefault="00AF7DC8" w:rsidP="000649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819C" w14:textId="77777777" w:rsidR="00AF7DC8" w:rsidRDefault="00AF7DC8" w:rsidP="00064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05A">
      <w:rPr>
        <w:rStyle w:val="PageNumber"/>
        <w:noProof/>
      </w:rPr>
      <w:t>1</w:t>
    </w:r>
    <w:r>
      <w:rPr>
        <w:rStyle w:val="PageNumber"/>
      </w:rPr>
      <w:fldChar w:fldCharType="end"/>
    </w:r>
  </w:p>
  <w:p w14:paraId="739DF172" w14:textId="77777777" w:rsidR="00AF7DC8" w:rsidRDefault="00AF7DC8" w:rsidP="000649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9003B" w14:textId="77777777" w:rsidR="00AF7DC8" w:rsidRDefault="00AF7DC8">
      <w:r>
        <w:separator/>
      </w:r>
    </w:p>
  </w:footnote>
  <w:footnote w:type="continuationSeparator" w:id="0">
    <w:p w14:paraId="1148C265" w14:textId="77777777" w:rsidR="00AF7DC8" w:rsidRDefault="00AF7DC8">
      <w:r>
        <w:continuationSeparator/>
      </w:r>
    </w:p>
  </w:footnote>
  <w:footnote w:id="1">
    <w:p w14:paraId="47631C2C" w14:textId="280D29E7" w:rsidR="00AF7DC8" w:rsidRPr="00B50603" w:rsidRDefault="00AF7DC8" w:rsidP="00B50603">
      <w:pPr>
        <w:ind w:right="503"/>
        <w:jc w:val="both"/>
        <w:rPr>
          <w:sz w:val="20"/>
          <w:szCs w:val="20"/>
        </w:rPr>
      </w:pPr>
      <w:r w:rsidRPr="00B50603">
        <w:rPr>
          <w:rStyle w:val="FootnoteReference"/>
          <w:sz w:val="20"/>
          <w:szCs w:val="20"/>
        </w:rPr>
        <w:footnoteRef/>
      </w:r>
      <w:r w:rsidRPr="00B50603">
        <w:rPr>
          <w:sz w:val="20"/>
          <w:szCs w:val="20"/>
        </w:rPr>
        <w:t xml:space="preserve"> Attached to Agass-Tiratsoo, 4 June 2013.</w:t>
      </w:r>
    </w:p>
    <w:p w14:paraId="19AF8011" w14:textId="6EA3035B" w:rsidR="00AF7DC8" w:rsidRDefault="00AF7DC8">
      <w:pPr>
        <w:pStyle w:val="FootnoteText"/>
      </w:pPr>
    </w:p>
  </w:footnote>
  <w:footnote w:id="2">
    <w:p w14:paraId="4B462EF1" w14:textId="72695957" w:rsidR="00AF7DC8" w:rsidRPr="00FB57B7" w:rsidRDefault="00AF7DC8">
      <w:pPr>
        <w:pStyle w:val="FootnoteText"/>
        <w:rPr>
          <w:sz w:val="20"/>
          <w:szCs w:val="20"/>
        </w:rPr>
      </w:pPr>
      <w:r w:rsidRPr="00FB57B7">
        <w:rPr>
          <w:rStyle w:val="FootnoteReference"/>
          <w:sz w:val="20"/>
          <w:szCs w:val="20"/>
        </w:rPr>
        <w:footnoteRef/>
      </w:r>
      <w:r w:rsidRPr="00FB57B7">
        <w:rPr>
          <w:sz w:val="20"/>
          <w:szCs w:val="20"/>
        </w:rPr>
        <w:t xml:space="preserve"> Private information</w:t>
      </w:r>
    </w:p>
  </w:footnote>
  <w:footnote w:id="3">
    <w:p w14:paraId="1C57ECA5" w14:textId="5BD9239A" w:rsidR="00AF7DC8" w:rsidRPr="0029687A" w:rsidRDefault="00AF7DC8">
      <w:pPr>
        <w:pStyle w:val="FootnoteText"/>
        <w:rPr>
          <w:sz w:val="20"/>
          <w:szCs w:val="20"/>
        </w:rPr>
      </w:pPr>
      <w:r w:rsidRPr="0029687A">
        <w:rPr>
          <w:rStyle w:val="FootnoteReference"/>
          <w:sz w:val="20"/>
          <w:szCs w:val="20"/>
        </w:rPr>
        <w:footnoteRef/>
      </w:r>
      <w:r w:rsidRPr="0029687A">
        <w:rPr>
          <w:sz w:val="20"/>
          <w:szCs w:val="20"/>
        </w:rPr>
        <w:t xml:space="preserve"> Un-redacted minutes, monitoring meeting dated 2 November 2010</w:t>
      </w:r>
    </w:p>
  </w:footnote>
  <w:footnote w:id="4">
    <w:p w14:paraId="7C3684B9" w14:textId="4D863ED2" w:rsidR="00AF7DC8" w:rsidRPr="003C761C" w:rsidRDefault="00AF7DC8" w:rsidP="003C761C">
      <w:pPr>
        <w:pStyle w:val="FootnoteText"/>
        <w:jc w:val="both"/>
        <w:rPr>
          <w:sz w:val="20"/>
          <w:szCs w:val="20"/>
        </w:rPr>
      </w:pPr>
      <w:r>
        <w:rPr>
          <w:rStyle w:val="FootnoteReference"/>
        </w:rPr>
        <w:footnoteRef/>
      </w:r>
      <w:r>
        <w:rPr>
          <w:sz w:val="20"/>
          <w:szCs w:val="20"/>
        </w:rPr>
        <w:t xml:space="preserve"> See Independent Panel Report, LBWF Cabinet, 3 December 2009.</w:t>
      </w:r>
    </w:p>
  </w:footnote>
  <w:footnote w:id="5">
    <w:p w14:paraId="6547CBAA" w14:textId="77777777" w:rsidR="00AF7DC8" w:rsidRPr="00932CAB" w:rsidRDefault="00AF7DC8" w:rsidP="00932CAB">
      <w:pPr>
        <w:pStyle w:val="FootnoteText"/>
        <w:ind w:right="-64"/>
        <w:jc w:val="both"/>
        <w:rPr>
          <w:sz w:val="20"/>
          <w:szCs w:val="20"/>
        </w:rPr>
      </w:pPr>
      <w:r w:rsidRPr="00932CAB">
        <w:rPr>
          <w:rStyle w:val="FootnoteReference"/>
          <w:sz w:val="20"/>
          <w:szCs w:val="20"/>
        </w:rPr>
        <w:footnoteRef/>
      </w:r>
      <w:r w:rsidRPr="00932CAB">
        <w:rPr>
          <w:sz w:val="20"/>
          <w:szCs w:val="20"/>
        </w:rPr>
        <w:t xml:space="preserve"> DCLG, </w:t>
      </w:r>
      <w:r w:rsidRPr="00932CAB">
        <w:rPr>
          <w:i/>
          <w:sz w:val="20"/>
          <w:szCs w:val="20"/>
        </w:rPr>
        <w:t>The Working Neighbourhoods Fund (WFN) Scoping Study</w:t>
      </w:r>
      <w:r w:rsidRPr="00932CAB">
        <w:rPr>
          <w:sz w:val="20"/>
          <w:szCs w:val="20"/>
        </w:rPr>
        <w:t xml:space="preserve"> (February 2010), p.17.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604"/>
    <w:multiLevelType w:val="hybridMultilevel"/>
    <w:tmpl w:val="FD4CD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7A3649"/>
    <w:multiLevelType w:val="hybridMultilevel"/>
    <w:tmpl w:val="95CE9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B06F85"/>
    <w:multiLevelType w:val="hybridMultilevel"/>
    <w:tmpl w:val="2346978A"/>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3">
    <w:nsid w:val="512A024C"/>
    <w:multiLevelType w:val="hybridMultilevel"/>
    <w:tmpl w:val="9AB46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BE0419"/>
    <w:multiLevelType w:val="hybridMultilevel"/>
    <w:tmpl w:val="8FAC2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3B4D91"/>
    <w:multiLevelType w:val="hybridMultilevel"/>
    <w:tmpl w:val="678E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63CC2"/>
    <w:multiLevelType w:val="hybridMultilevel"/>
    <w:tmpl w:val="5134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14A87"/>
    <w:multiLevelType w:val="hybridMultilevel"/>
    <w:tmpl w:val="DB2CBCCE"/>
    <w:lvl w:ilvl="0" w:tplc="C57469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33B40"/>
    <w:multiLevelType w:val="hybridMultilevel"/>
    <w:tmpl w:val="7918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8E2A06"/>
    <w:multiLevelType w:val="hybridMultilevel"/>
    <w:tmpl w:val="BE5C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4B"/>
    <w:rsid w:val="00043BFC"/>
    <w:rsid w:val="0005332C"/>
    <w:rsid w:val="000533F3"/>
    <w:rsid w:val="0006494B"/>
    <w:rsid w:val="00077A54"/>
    <w:rsid w:val="00083DC7"/>
    <w:rsid w:val="0008642F"/>
    <w:rsid w:val="00086F0A"/>
    <w:rsid w:val="000A28BE"/>
    <w:rsid w:val="000D4052"/>
    <w:rsid w:val="000E5BE5"/>
    <w:rsid w:val="000F01BF"/>
    <w:rsid w:val="001400BA"/>
    <w:rsid w:val="00142D3A"/>
    <w:rsid w:val="00144643"/>
    <w:rsid w:val="001709F4"/>
    <w:rsid w:val="00177697"/>
    <w:rsid w:val="001A3DB2"/>
    <w:rsid w:val="001A571C"/>
    <w:rsid w:val="001A65DD"/>
    <w:rsid w:val="001B7E6A"/>
    <w:rsid w:val="001C33C5"/>
    <w:rsid w:val="001E0C68"/>
    <w:rsid w:val="00200FDE"/>
    <w:rsid w:val="0021172B"/>
    <w:rsid w:val="00214E98"/>
    <w:rsid w:val="00236455"/>
    <w:rsid w:val="00241DAB"/>
    <w:rsid w:val="00250A3E"/>
    <w:rsid w:val="002537B0"/>
    <w:rsid w:val="0026133F"/>
    <w:rsid w:val="002628F9"/>
    <w:rsid w:val="002653EC"/>
    <w:rsid w:val="00273D7D"/>
    <w:rsid w:val="00282D81"/>
    <w:rsid w:val="0029687A"/>
    <w:rsid w:val="002A1B73"/>
    <w:rsid w:val="002A3A33"/>
    <w:rsid w:val="002A55C5"/>
    <w:rsid w:val="002A7DD1"/>
    <w:rsid w:val="002C3F30"/>
    <w:rsid w:val="002E7772"/>
    <w:rsid w:val="002F7E29"/>
    <w:rsid w:val="00311FFE"/>
    <w:rsid w:val="00314C1F"/>
    <w:rsid w:val="003233DE"/>
    <w:rsid w:val="00335D83"/>
    <w:rsid w:val="0034373E"/>
    <w:rsid w:val="0034577F"/>
    <w:rsid w:val="003467F1"/>
    <w:rsid w:val="00347B25"/>
    <w:rsid w:val="003554BB"/>
    <w:rsid w:val="00375A5B"/>
    <w:rsid w:val="00375B9D"/>
    <w:rsid w:val="00384D06"/>
    <w:rsid w:val="003B5E50"/>
    <w:rsid w:val="003B64A8"/>
    <w:rsid w:val="003C15B8"/>
    <w:rsid w:val="003C761C"/>
    <w:rsid w:val="003F0F27"/>
    <w:rsid w:val="00402740"/>
    <w:rsid w:val="00405384"/>
    <w:rsid w:val="00421602"/>
    <w:rsid w:val="00427C68"/>
    <w:rsid w:val="00433F4B"/>
    <w:rsid w:val="0043450E"/>
    <w:rsid w:val="00454097"/>
    <w:rsid w:val="00456BC5"/>
    <w:rsid w:val="00461DF6"/>
    <w:rsid w:val="00470862"/>
    <w:rsid w:val="00471556"/>
    <w:rsid w:val="004A1B65"/>
    <w:rsid w:val="004C400D"/>
    <w:rsid w:val="004D63EE"/>
    <w:rsid w:val="004E6686"/>
    <w:rsid w:val="00513AB6"/>
    <w:rsid w:val="005624AF"/>
    <w:rsid w:val="00573B06"/>
    <w:rsid w:val="005743CE"/>
    <w:rsid w:val="00583977"/>
    <w:rsid w:val="00583FE6"/>
    <w:rsid w:val="00584B12"/>
    <w:rsid w:val="005918FC"/>
    <w:rsid w:val="00592FAA"/>
    <w:rsid w:val="00593E28"/>
    <w:rsid w:val="00596A1E"/>
    <w:rsid w:val="005A1652"/>
    <w:rsid w:val="005A51C3"/>
    <w:rsid w:val="005A5AEE"/>
    <w:rsid w:val="005B57C5"/>
    <w:rsid w:val="005B7766"/>
    <w:rsid w:val="0060707C"/>
    <w:rsid w:val="00630131"/>
    <w:rsid w:val="00634C96"/>
    <w:rsid w:val="00646556"/>
    <w:rsid w:val="00652759"/>
    <w:rsid w:val="0065729E"/>
    <w:rsid w:val="006601E5"/>
    <w:rsid w:val="006641C8"/>
    <w:rsid w:val="00666DD0"/>
    <w:rsid w:val="0067205A"/>
    <w:rsid w:val="00672EF6"/>
    <w:rsid w:val="00685E30"/>
    <w:rsid w:val="00687383"/>
    <w:rsid w:val="006876C6"/>
    <w:rsid w:val="00690A8B"/>
    <w:rsid w:val="006C27A3"/>
    <w:rsid w:val="006D5048"/>
    <w:rsid w:val="006E22A1"/>
    <w:rsid w:val="00707C59"/>
    <w:rsid w:val="00714D85"/>
    <w:rsid w:val="00716812"/>
    <w:rsid w:val="007268A0"/>
    <w:rsid w:val="00732138"/>
    <w:rsid w:val="00751F3A"/>
    <w:rsid w:val="007576B7"/>
    <w:rsid w:val="0078153A"/>
    <w:rsid w:val="00795856"/>
    <w:rsid w:val="007E1FAA"/>
    <w:rsid w:val="00802BE0"/>
    <w:rsid w:val="00812F0B"/>
    <w:rsid w:val="00820E19"/>
    <w:rsid w:val="00841A81"/>
    <w:rsid w:val="00844E8A"/>
    <w:rsid w:val="00846123"/>
    <w:rsid w:val="008505BB"/>
    <w:rsid w:val="00851E4E"/>
    <w:rsid w:val="00854D83"/>
    <w:rsid w:val="0086529B"/>
    <w:rsid w:val="008666E9"/>
    <w:rsid w:val="008938CA"/>
    <w:rsid w:val="008B6598"/>
    <w:rsid w:val="008C414E"/>
    <w:rsid w:val="008C6244"/>
    <w:rsid w:val="008D7633"/>
    <w:rsid w:val="008E1787"/>
    <w:rsid w:val="0090075F"/>
    <w:rsid w:val="0090700B"/>
    <w:rsid w:val="0091728D"/>
    <w:rsid w:val="00932CAB"/>
    <w:rsid w:val="00977746"/>
    <w:rsid w:val="009B24BA"/>
    <w:rsid w:val="009B655F"/>
    <w:rsid w:val="009E3192"/>
    <w:rsid w:val="009E6DE4"/>
    <w:rsid w:val="009E753A"/>
    <w:rsid w:val="009F5224"/>
    <w:rsid w:val="00A022F3"/>
    <w:rsid w:val="00A07F5C"/>
    <w:rsid w:val="00A35BD0"/>
    <w:rsid w:val="00A535F2"/>
    <w:rsid w:val="00A63068"/>
    <w:rsid w:val="00A77E06"/>
    <w:rsid w:val="00A839FC"/>
    <w:rsid w:val="00AA0E51"/>
    <w:rsid w:val="00AA6F4E"/>
    <w:rsid w:val="00AD5BF4"/>
    <w:rsid w:val="00AF6EAB"/>
    <w:rsid w:val="00AF7DC8"/>
    <w:rsid w:val="00B00CD8"/>
    <w:rsid w:val="00B12940"/>
    <w:rsid w:val="00B164F5"/>
    <w:rsid w:val="00B16778"/>
    <w:rsid w:val="00B25091"/>
    <w:rsid w:val="00B32BC6"/>
    <w:rsid w:val="00B40F1D"/>
    <w:rsid w:val="00B437B1"/>
    <w:rsid w:val="00B50603"/>
    <w:rsid w:val="00B61BCE"/>
    <w:rsid w:val="00B76915"/>
    <w:rsid w:val="00BA26DB"/>
    <w:rsid w:val="00BB541D"/>
    <w:rsid w:val="00BC351A"/>
    <w:rsid w:val="00BF0E42"/>
    <w:rsid w:val="00C01D17"/>
    <w:rsid w:val="00C26450"/>
    <w:rsid w:val="00C63F10"/>
    <w:rsid w:val="00C81E1B"/>
    <w:rsid w:val="00C90F15"/>
    <w:rsid w:val="00C96C3B"/>
    <w:rsid w:val="00CA0B7A"/>
    <w:rsid w:val="00CE6A5D"/>
    <w:rsid w:val="00CF0497"/>
    <w:rsid w:val="00D052A7"/>
    <w:rsid w:val="00D27D1C"/>
    <w:rsid w:val="00D36EAB"/>
    <w:rsid w:val="00D53A9C"/>
    <w:rsid w:val="00D5587C"/>
    <w:rsid w:val="00D7315D"/>
    <w:rsid w:val="00D850F4"/>
    <w:rsid w:val="00D86EA5"/>
    <w:rsid w:val="00D90968"/>
    <w:rsid w:val="00D946C6"/>
    <w:rsid w:val="00DC7AF5"/>
    <w:rsid w:val="00DD2AA1"/>
    <w:rsid w:val="00E155AF"/>
    <w:rsid w:val="00E44B38"/>
    <w:rsid w:val="00E50216"/>
    <w:rsid w:val="00E52F3F"/>
    <w:rsid w:val="00E53930"/>
    <w:rsid w:val="00E57E64"/>
    <w:rsid w:val="00E740D3"/>
    <w:rsid w:val="00E90E8A"/>
    <w:rsid w:val="00ED5D34"/>
    <w:rsid w:val="00F11E90"/>
    <w:rsid w:val="00F12EA2"/>
    <w:rsid w:val="00F15DAD"/>
    <w:rsid w:val="00F31F90"/>
    <w:rsid w:val="00F41CEB"/>
    <w:rsid w:val="00F4674D"/>
    <w:rsid w:val="00F572BE"/>
    <w:rsid w:val="00F70715"/>
    <w:rsid w:val="00F73C72"/>
    <w:rsid w:val="00F75614"/>
    <w:rsid w:val="00FA62D0"/>
    <w:rsid w:val="00FB57B7"/>
    <w:rsid w:val="00FB6CD0"/>
    <w:rsid w:val="00FC419E"/>
    <w:rsid w:val="00FE7BAE"/>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1CA9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4B"/>
    <w:pPr>
      <w:ind w:left="720"/>
      <w:contextualSpacing/>
    </w:pPr>
  </w:style>
  <w:style w:type="paragraph" w:styleId="Footer">
    <w:name w:val="footer"/>
    <w:basedOn w:val="Normal"/>
    <w:link w:val="FooterChar"/>
    <w:uiPriority w:val="99"/>
    <w:unhideWhenUsed/>
    <w:rsid w:val="0006494B"/>
    <w:pPr>
      <w:tabs>
        <w:tab w:val="center" w:pos="4320"/>
        <w:tab w:val="right" w:pos="8640"/>
      </w:tabs>
    </w:pPr>
  </w:style>
  <w:style w:type="character" w:customStyle="1" w:styleId="FooterChar">
    <w:name w:val="Footer Char"/>
    <w:basedOn w:val="DefaultParagraphFont"/>
    <w:link w:val="Footer"/>
    <w:uiPriority w:val="99"/>
    <w:rsid w:val="0006494B"/>
  </w:style>
  <w:style w:type="character" w:styleId="PageNumber">
    <w:name w:val="page number"/>
    <w:basedOn w:val="DefaultParagraphFont"/>
    <w:uiPriority w:val="99"/>
    <w:semiHidden/>
    <w:unhideWhenUsed/>
    <w:rsid w:val="0006494B"/>
  </w:style>
  <w:style w:type="character" w:styleId="Hyperlink">
    <w:name w:val="Hyperlink"/>
    <w:basedOn w:val="DefaultParagraphFont"/>
    <w:uiPriority w:val="99"/>
    <w:unhideWhenUsed/>
    <w:rsid w:val="0086529B"/>
    <w:rPr>
      <w:color w:val="0000FF" w:themeColor="hyperlink"/>
      <w:u w:val="single"/>
    </w:rPr>
  </w:style>
  <w:style w:type="paragraph" w:styleId="FootnoteText">
    <w:name w:val="footnote text"/>
    <w:basedOn w:val="Normal"/>
    <w:link w:val="FootnoteTextChar"/>
    <w:uiPriority w:val="99"/>
    <w:unhideWhenUsed/>
    <w:rsid w:val="0021172B"/>
  </w:style>
  <w:style w:type="character" w:customStyle="1" w:styleId="FootnoteTextChar">
    <w:name w:val="Footnote Text Char"/>
    <w:basedOn w:val="DefaultParagraphFont"/>
    <w:link w:val="FootnoteText"/>
    <w:uiPriority w:val="99"/>
    <w:rsid w:val="0021172B"/>
  </w:style>
  <w:style w:type="character" w:styleId="FootnoteReference">
    <w:name w:val="footnote reference"/>
    <w:basedOn w:val="DefaultParagraphFont"/>
    <w:uiPriority w:val="99"/>
    <w:unhideWhenUsed/>
    <w:rsid w:val="0021172B"/>
    <w:rPr>
      <w:vertAlign w:val="superscript"/>
    </w:rPr>
  </w:style>
  <w:style w:type="character" w:styleId="FollowedHyperlink">
    <w:name w:val="FollowedHyperlink"/>
    <w:basedOn w:val="DefaultParagraphFont"/>
    <w:uiPriority w:val="99"/>
    <w:semiHidden/>
    <w:unhideWhenUsed/>
    <w:rsid w:val="003C76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4B"/>
    <w:pPr>
      <w:ind w:left="720"/>
      <w:contextualSpacing/>
    </w:pPr>
  </w:style>
  <w:style w:type="paragraph" w:styleId="Footer">
    <w:name w:val="footer"/>
    <w:basedOn w:val="Normal"/>
    <w:link w:val="FooterChar"/>
    <w:uiPriority w:val="99"/>
    <w:unhideWhenUsed/>
    <w:rsid w:val="0006494B"/>
    <w:pPr>
      <w:tabs>
        <w:tab w:val="center" w:pos="4320"/>
        <w:tab w:val="right" w:pos="8640"/>
      </w:tabs>
    </w:pPr>
  </w:style>
  <w:style w:type="character" w:customStyle="1" w:styleId="FooterChar">
    <w:name w:val="Footer Char"/>
    <w:basedOn w:val="DefaultParagraphFont"/>
    <w:link w:val="Footer"/>
    <w:uiPriority w:val="99"/>
    <w:rsid w:val="0006494B"/>
  </w:style>
  <w:style w:type="character" w:styleId="PageNumber">
    <w:name w:val="page number"/>
    <w:basedOn w:val="DefaultParagraphFont"/>
    <w:uiPriority w:val="99"/>
    <w:semiHidden/>
    <w:unhideWhenUsed/>
    <w:rsid w:val="0006494B"/>
  </w:style>
  <w:style w:type="character" w:styleId="Hyperlink">
    <w:name w:val="Hyperlink"/>
    <w:basedOn w:val="DefaultParagraphFont"/>
    <w:uiPriority w:val="99"/>
    <w:unhideWhenUsed/>
    <w:rsid w:val="0086529B"/>
    <w:rPr>
      <w:color w:val="0000FF" w:themeColor="hyperlink"/>
      <w:u w:val="single"/>
    </w:rPr>
  </w:style>
  <w:style w:type="paragraph" w:styleId="FootnoteText">
    <w:name w:val="footnote text"/>
    <w:basedOn w:val="Normal"/>
    <w:link w:val="FootnoteTextChar"/>
    <w:uiPriority w:val="99"/>
    <w:unhideWhenUsed/>
    <w:rsid w:val="0021172B"/>
  </w:style>
  <w:style w:type="character" w:customStyle="1" w:styleId="FootnoteTextChar">
    <w:name w:val="Footnote Text Char"/>
    <w:basedOn w:val="DefaultParagraphFont"/>
    <w:link w:val="FootnoteText"/>
    <w:uiPriority w:val="99"/>
    <w:rsid w:val="0021172B"/>
  </w:style>
  <w:style w:type="character" w:styleId="FootnoteReference">
    <w:name w:val="footnote reference"/>
    <w:basedOn w:val="DefaultParagraphFont"/>
    <w:uiPriority w:val="99"/>
    <w:unhideWhenUsed/>
    <w:rsid w:val="0021172B"/>
    <w:rPr>
      <w:vertAlign w:val="superscript"/>
    </w:rPr>
  </w:style>
  <w:style w:type="character" w:styleId="FollowedHyperlink">
    <w:name w:val="FollowedHyperlink"/>
    <w:basedOn w:val="DefaultParagraphFont"/>
    <w:uiPriority w:val="99"/>
    <w:semiHidden/>
    <w:unhideWhenUsed/>
    <w:rsid w:val="003C7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nnedyscott.co.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1734</TotalTime>
  <Pages>13</Pages>
  <Words>4564</Words>
  <Characters>26020</Characters>
  <Application>Microsoft Macintosh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97</cp:revision>
  <cp:lastPrinted>2013-07-09T14:40:00Z</cp:lastPrinted>
  <dcterms:created xsi:type="dcterms:W3CDTF">2012-05-29T09:03:00Z</dcterms:created>
  <dcterms:modified xsi:type="dcterms:W3CDTF">2015-03-24T17:58:00Z</dcterms:modified>
  <cp:category/>
</cp:coreProperties>
</file>